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18B9" w:rsidRPr="00CF18B9" w:rsidRDefault="00CF18B9" w:rsidP="00CF18B9">
      <w:pPr>
        <w:autoSpaceDE w:val="0"/>
        <w:autoSpaceDN w:val="0"/>
        <w:adjustRightInd w:val="0"/>
        <w:spacing w:after="0" w:line="240" w:lineRule="auto"/>
        <w:jc w:val="center"/>
        <w:rPr>
          <w:rFonts w:ascii="TimesNewRomanPSMT" w:hAnsi="TimesNewRomanPSMT" w:cs="TimesNewRomanPSMT"/>
          <w:b/>
          <w:sz w:val="28"/>
          <w:szCs w:val="28"/>
        </w:rPr>
      </w:pPr>
      <w:r w:rsidRPr="00CF18B9">
        <w:rPr>
          <w:rFonts w:ascii="TimesNewRomanPSMT" w:hAnsi="TimesNewRomanPSMT" w:cs="TimesNewRomanPSMT"/>
          <w:b/>
          <w:sz w:val="28"/>
          <w:szCs w:val="28"/>
        </w:rPr>
        <w:t xml:space="preserve">Основная информация по условиям брокерского обслуживания </w:t>
      </w:r>
      <w:r w:rsidR="009E14EF">
        <w:rPr>
          <w:rFonts w:ascii="TimesNewRomanPSMT" w:hAnsi="TimesNewRomanPSMT" w:cs="TimesNewRomanPSMT"/>
          <w:b/>
          <w:sz w:val="28"/>
          <w:szCs w:val="28"/>
        </w:rPr>
        <w:t xml:space="preserve">ООО «АРС Инвест» </w:t>
      </w:r>
    </w:p>
    <w:p w:rsidR="00CF18B9" w:rsidRDefault="00CF18B9" w:rsidP="00CF18B9">
      <w:pPr>
        <w:autoSpaceDE w:val="0"/>
        <w:autoSpaceDN w:val="0"/>
        <w:adjustRightInd w:val="0"/>
        <w:spacing w:after="0" w:line="240" w:lineRule="auto"/>
        <w:rPr>
          <w:rFonts w:ascii="TimesNewRomanPSMT" w:hAnsi="TimesNewRomanPSMT" w:cs="TimesNewRomanPSMT"/>
          <w:sz w:val="28"/>
          <w:szCs w:val="28"/>
        </w:rPr>
      </w:pPr>
    </w:p>
    <w:p w:rsidR="00CF2FD7" w:rsidRPr="007D3E59" w:rsidRDefault="00CF2FD7" w:rsidP="000D642F">
      <w:pPr>
        <w:autoSpaceDE w:val="0"/>
        <w:autoSpaceDN w:val="0"/>
        <w:adjustRightInd w:val="0"/>
        <w:spacing w:after="0" w:line="240" w:lineRule="auto"/>
        <w:ind w:firstLine="708"/>
        <w:jc w:val="both"/>
        <w:rPr>
          <w:rFonts w:ascii="Times New Roman" w:hAnsi="Times New Roman" w:cs="Times New Roman"/>
        </w:rPr>
      </w:pPr>
      <w:r w:rsidRPr="007D3E59">
        <w:rPr>
          <w:rFonts w:ascii="Times New Roman" w:hAnsi="Times New Roman" w:cs="Times New Roman"/>
        </w:rPr>
        <w:t xml:space="preserve">В целях упрощения восприятия и понимания </w:t>
      </w:r>
      <w:r w:rsidR="000D642F" w:rsidRPr="007D3E59">
        <w:rPr>
          <w:rFonts w:ascii="Times New Roman" w:hAnsi="Times New Roman" w:cs="Times New Roman"/>
        </w:rPr>
        <w:t xml:space="preserve"> клиентами </w:t>
      </w:r>
      <w:r w:rsidRPr="007D3E59">
        <w:rPr>
          <w:rFonts w:ascii="Times New Roman" w:hAnsi="Times New Roman" w:cs="Times New Roman"/>
        </w:rPr>
        <w:t>физическими лицами -</w:t>
      </w:r>
    </w:p>
    <w:p w:rsidR="000D642F" w:rsidRPr="007D3E59" w:rsidRDefault="00CF2FD7" w:rsidP="000D642F">
      <w:pPr>
        <w:autoSpaceDE w:val="0"/>
        <w:autoSpaceDN w:val="0"/>
        <w:adjustRightInd w:val="0"/>
        <w:spacing w:after="0" w:line="240" w:lineRule="auto"/>
        <w:jc w:val="both"/>
        <w:rPr>
          <w:rFonts w:ascii="Times New Roman" w:hAnsi="Times New Roman" w:cs="Times New Roman"/>
        </w:rPr>
      </w:pPr>
      <w:r w:rsidRPr="007D3E59">
        <w:rPr>
          <w:rFonts w:ascii="Times New Roman" w:hAnsi="Times New Roman" w:cs="Times New Roman"/>
        </w:rPr>
        <w:t xml:space="preserve">получателями финансовых услуг,  важной информации об указанных услугах, минимизации рисков инвесторов, реализацию которых может повлечь отсутствие у них возможности полностью ознакомиться с большим объемом содержащейся в договоре о брокерском обслуживании информации, </w:t>
      </w:r>
      <w:r w:rsidR="009E14EF">
        <w:rPr>
          <w:rFonts w:ascii="Times New Roman" w:hAnsi="Times New Roman" w:cs="Times New Roman"/>
        </w:rPr>
        <w:t xml:space="preserve">ООО «АРС Инвест» </w:t>
      </w:r>
      <w:r w:rsidR="000D642F" w:rsidRPr="007D3E59">
        <w:rPr>
          <w:rFonts w:ascii="Times New Roman" w:hAnsi="Times New Roman" w:cs="Times New Roman"/>
        </w:rPr>
        <w:t xml:space="preserve"> </w:t>
      </w:r>
      <w:r w:rsidRPr="007D3E59">
        <w:rPr>
          <w:rFonts w:ascii="Times New Roman" w:hAnsi="Times New Roman" w:cs="Times New Roman"/>
        </w:rPr>
        <w:t>предоставляет Клиенту в краткой форме следующую информацию:</w:t>
      </w:r>
    </w:p>
    <w:p w:rsidR="00D61007" w:rsidRPr="009E14EF" w:rsidRDefault="00CF2FD7" w:rsidP="00256231">
      <w:pPr>
        <w:pStyle w:val="aa"/>
        <w:numPr>
          <w:ilvl w:val="0"/>
          <w:numId w:val="6"/>
        </w:numPr>
        <w:autoSpaceDE w:val="0"/>
        <w:autoSpaceDN w:val="0"/>
        <w:adjustRightInd w:val="0"/>
        <w:spacing w:after="0" w:line="240" w:lineRule="auto"/>
        <w:ind w:left="284" w:hanging="284"/>
        <w:jc w:val="both"/>
        <w:rPr>
          <w:rFonts w:ascii="Times New Roman" w:hAnsi="Times New Roman" w:cs="Times New Roman"/>
          <w:sz w:val="20"/>
          <w:szCs w:val="20"/>
        </w:rPr>
      </w:pPr>
      <w:r w:rsidRPr="007D3E59">
        <w:rPr>
          <w:rFonts w:ascii="Times New Roman" w:hAnsi="Times New Roman" w:cs="Times New Roman"/>
        </w:rPr>
        <w:t>П</w:t>
      </w:r>
      <w:r w:rsidR="00CF18B9" w:rsidRPr="007D3E59">
        <w:rPr>
          <w:rFonts w:ascii="Times New Roman" w:hAnsi="Times New Roman" w:cs="Times New Roman"/>
        </w:rPr>
        <w:t>редмет</w:t>
      </w:r>
      <w:r w:rsidRPr="007D3E59">
        <w:rPr>
          <w:rFonts w:ascii="Times New Roman" w:hAnsi="Times New Roman" w:cs="Times New Roman"/>
        </w:rPr>
        <w:t>ом</w:t>
      </w:r>
      <w:r w:rsidR="00F32BE6" w:rsidRPr="007D3E59">
        <w:rPr>
          <w:rFonts w:ascii="Times New Roman" w:hAnsi="Times New Roman" w:cs="Times New Roman"/>
        </w:rPr>
        <w:t xml:space="preserve"> «Регламент</w:t>
      </w:r>
      <w:r w:rsidRPr="007D3E59">
        <w:rPr>
          <w:rFonts w:ascii="Times New Roman" w:hAnsi="Times New Roman" w:cs="Times New Roman"/>
        </w:rPr>
        <w:t>а</w:t>
      </w:r>
      <w:r w:rsidR="00F32BE6" w:rsidRPr="007D3E59">
        <w:rPr>
          <w:rFonts w:ascii="Times New Roman" w:hAnsi="Times New Roman" w:cs="Times New Roman"/>
        </w:rPr>
        <w:t xml:space="preserve"> предоставления </w:t>
      </w:r>
      <w:r w:rsidR="009E14EF">
        <w:rPr>
          <w:rFonts w:ascii="Times New Roman" w:hAnsi="Times New Roman" w:cs="Times New Roman"/>
        </w:rPr>
        <w:t xml:space="preserve">ООО «АРС Инвест» </w:t>
      </w:r>
      <w:r w:rsidR="00F32BE6" w:rsidRPr="007D3E59">
        <w:rPr>
          <w:rFonts w:ascii="Times New Roman" w:hAnsi="Times New Roman" w:cs="Times New Roman"/>
        </w:rPr>
        <w:t xml:space="preserve"> брокерских услуг на рынке ценных бумаг,  срочном  и валютном рынке»</w:t>
      </w:r>
      <w:r w:rsidRPr="007D3E59">
        <w:rPr>
          <w:rFonts w:ascii="Times New Roman" w:hAnsi="Times New Roman" w:cs="Times New Roman"/>
        </w:rPr>
        <w:t xml:space="preserve"> (далее Регламент) является </w:t>
      </w:r>
      <w:r w:rsidR="00F32BE6" w:rsidRPr="007D3E59">
        <w:rPr>
          <w:rFonts w:ascii="Times New Roman" w:hAnsi="Times New Roman" w:cs="Times New Roman"/>
        </w:rPr>
        <w:t xml:space="preserve"> определ</w:t>
      </w:r>
      <w:r w:rsidRPr="007D3E59">
        <w:rPr>
          <w:rFonts w:ascii="Times New Roman" w:hAnsi="Times New Roman" w:cs="Times New Roman"/>
        </w:rPr>
        <w:t>ение поряд</w:t>
      </w:r>
      <w:r w:rsidR="00F32BE6" w:rsidRPr="007D3E59">
        <w:rPr>
          <w:rFonts w:ascii="Times New Roman" w:hAnsi="Times New Roman" w:cs="Times New Roman"/>
        </w:rPr>
        <w:t>к</w:t>
      </w:r>
      <w:r w:rsidRPr="007D3E59">
        <w:rPr>
          <w:rFonts w:ascii="Times New Roman" w:hAnsi="Times New Roman" w:cs="Times New Roman"/>
        </w:rPr>
        <w:t>а</w:t>
      </w:r>
      <w:r w:rsidR="00F32BE6" w:rsidRPr="007D3E59">
        <w:rPr>
          <w:rFonts w:ascii="Times New Roman" w:hAnsi="Times New Roman" w:cs="Times New Roman"/>
        </w:rPr>
        <w:t xml:space="preserve"> и услови</w:t>
      </w:r>
      <w:r w:rsidRPr="007D3E59">
        <w:rPr>
          <w:rFonts w:ascii="Times New Roman" w:hAnsi="Times New Roman" w:cs="Times New Roman"/>
        </w:rPr>
        <w:t>й</w:t>
      </w:r>
      <w:r w:rsidR="00F32BE6" w:rsidRPr="007D3E59">
        <w:rPr>
          <w:rFonts w:ascii="Times New Roman" w:hAnsi="Times New Roman" w:cs="Times New Roman"/>
        </w:rPr>
        <w:t xml:space="preserve">, на которых </w:t>
      </w:r>
      <w:r w:rsidR="009E14EF">
        <w:rPr>
          <w:rFonts w:ascii="Times New Roman" w:hAnsi="Times New Roman" w:cs="Times New Roman"/>
        </w:rPr>
        <w:t xml:space="preserve">ООО «АРС Инвест» </w:t>
      </w:r>
      <w:r w:rsidR="00F32BE6" w:rsidRPr="007D3E59">
        <w:rPr>
          <w:rFonts w:ascii="Times New Roman" w:hAnsi="Times New Roman" w:cs="Times New Roman"/>
        </w:rPr>
        <w:t xml:space="preserve"> предоставляет брокерские услуги на рынке ценных бумаг юридическим и физическим лицам, резидентам и нерезидентам Российской Федерации</w:t>
      </w:r>
      <w:r w:rsidRPr="007D3E59">
        <w:rPr>
          <w:rFonts w:ascii="Times New Roman" w:hAnsi="Times New Roman" w:cs="Times New Roman"/>
        </w:rPr>
        <w:t xml:space="preserve">, </w:t>
      </w:r>
      <w:r w:rsidR="00F32BE6" w:rsidRPr="007D3E59">
        <w:rPr>
          <w:rFonts w:ascii="Times New Roman" w:hAnsi="Times New Roman" w:cs="Times New Roman"/>
        </w:rPr>
        <w:t>удовлетворяющим условиям, зафиксированным в Регламенте</w:t>
      </w:r>
      <w:r w:rsidRPr="007D3E59">
        <w:rPr>
          <w:rFonts w:ascii="Times New Roman" w:hAnsi="Times New Roman" w:cs="Times New Roman"/>
        </w:rPr>
        <w:t xml:space="preserve">. Подробно с регламентом можно ознакомиться на сайте Компании </w:t>
      </w:r>
      <w:r w:rsidR="009E14EF" w:rsidRPr="009E14EF">
        <w:rPr>
          <w:rFonts w:ascii="Times New Roman" w:hAnsi="Times New Roman" w:cs="Times New Roman"/>
          <w:color w:val="0D0D0D"/>
          <w:sz w:val="20"/>
          <w:szCs w:val="20"/>
          <w:lang w:val="en-US"/>
        </w:rPr>
        <w:t>http</w:t>
      </w:r>
      <w:r w:rsidR="009E14EF" w:rsidRPr="009E14EF">
        <w:rPr>
          <w:rFonts w:ascii="Times New Roman" w:hAnsi="Times New Roman" w:cs="Times New Roman"/>
          <w:color w:val="0D0D0D"/>
          <w:sz w:val="20"/>
          <w:szCs w:val="20"/>
        </w:rPr>
        <w:t>://</w:t>
      </w:r>
      <w:r w:rsidR="009E14EF" w:rsidRPr="009E14EF">
        <w:rPr>
          <w:rFonts w:ascii="Times New Roman" w:hAnsi="Times New Roman" w:cs="Times New Roman"/>
          <w:color w:val="0D0D0D"/>
          <w:sz w:val="20"/>
          <w:szCs w:val="20"/>
          <w:lang w:val="en-US"/>
        </w:rPr>
        <w:t>www</w:t>
      </w:r>
      <w:r w:rsidR="009E14EF" w:rsidRPr="009E14EF">
        <w:rPr>
          <w:rFonts w:ascii="Times New Roman" w:hAnsi="Times New Roman" w:cs="Times New Roman"/>
          <w:color w:val="0D0D0D"/>
          <w:sz w:val="20"/>
          <w:szCs w:val="20"/>
        </w:rPr>
        <w:t>.</w:t>
      </w:r>
      <w:proofErr w:type="spellStart"/>
      <w:r w:rsidR="009E14EF" w:rsidRPr="009E14EF">
        <w:rPr>
          <w:rFonts w:ascii="Times New Roman" w:hAnsi="Times New Roman" w:cs="Times New Roman"/>
          <w:color w:val="0D0D0D"/>
          <w:sz w:val="20"/>
          <w:szCs w:val="20"/>
          <w:lang w:val="en-US"/>
        </w:rPr>
        <w:t>arsinvest</w:t>
      </w:r>
      <w:proofErr w:type="spellEnd"/>
      <w:r w:rsidR="009E14EF" w:rsidRPr="009E14EF">
        <w:rPr>
          <w:rFonts w:ascii="Times New Roman" w:hAnsi="Times New Roman" w:cs="Times New Roman"/>
          <w:color w:val="0D0D0D"/>
          <w:sz w:val="20"/>
          <w:szCs w:val="20"/>
        </w:rPr>
        <w:t>.</w:t>
      </w:r>
      <w:proofErr w:type="spellStart"/>
      <w:r w:rsidR="009E14EF" w:rsidRPr="009E14EF">
        <w:rPr>
          <w:rFonts w:ascii="Times New Roman" w:hAnsi="Times New Roman" w:cs="Times New Roman"/>
          <w:color w:val="0D0D0D"/>
          <w:sz w:val="20"/>
          <w:szCs w:val="20"/>
          <w:lang w:val="en-US"/>
        </w:rPr>
        <w:t>ru</w:t>
      </w:r>
      <w:proofErr w:type="spellEnd"/>
    </w:p>
    <w:p w:rsidR="00CF2FD7" w:rsidRPr="007D3E59" w:rsidRDefault="003621E0" w:rsidP="00256231">
      <w:pPr>
        <w:pStyle w:val="aa"/>
        <w:numPr>
          <w:ilvl w:val="0"/>
          <w:numId w:val="6"/>
        </w:numPr>
        <w:autoSpaceDE w:val="0"/>
        <w:autoSpaceDN w:val="0"/>
        <w:adjustRightInd w:val="0"/>
        <w:spacing w:after="0" w:line="240" w:lineRule="auto"/>
        <w:ind w:left="284" w:hanging="284"/>
        <w:jc w:val="both"/>
        <w:rPr>
          <w:rFonts w:ascii="Times New Roman" w:hAnsi="Times New Roman" w:cs="Times New Roman"/>
        </w:rPr>
      </w:pPr>
      <w:r w:rsidRPr="007D3E59">
        <w:rPr>
          <w:rFonts w:ascii="Times New Roman" w:hAnsi="Times New Roman" w:cs="Times New Roman"/>
        </w:rPr>
        <w:t>Клиент имеет право в любой момент отказаться от присоединения к настоящему Регламенту (расторгнуть Договор). Расторжение Договора наступает только после полного урегулирования всех обязатель</w:t>
      </w:r>
      <w:proofErr w:type="gramStart"/>
      <w:r w:rsidRPr="007D3E59">
        <w:rPr>
          <w:rFonts w:ascii="Times New Roman" w:hAnsi="Times New Roman" w:cs="Times New Roman"/>
        </w:rPr>
        <w:t>ств Кл</w:t>
      </w:r>
      <w:proofErr w:type="gramEnd"/>
      <w:r w:rsidRPr="007D3E59">
        <w:rPr>
          <w:rFonts w:ascii="Times New Roman" w:hAnsi="Times New Roman" w:cs="Times New Roman"/>
        </w:rPr>
        <w:t>иента перед Компанией и/или третьими лицами.</w:t>
      </w:r>
      <w:r w:rsidR="00CF2FD7" w:rsidRPr="007D3E59">
        <w:rPr>
          <w:rFonts w:ascii="Times New Roman" w:hAnsi="Times New Roman" w:cs="Times New Roman"/>
        </w:rPr>
        <w:t xml:space="preserve"> </w:t>
      </w:r>
      <w:r w:rsidRPr="007D3E59">
        <w:rPr>
          <w:rFonts w:ascii="Times New Roman" w:hAnsi="Times New Roman" w:cs="Times New Roman"/>
        </w:rPr>
        <w:t xml:space="preserve">Отказ Клиента от Регламента производится путем простого письменного уведомления Компании не </w:t>
      </w:r>
      <w:proofErr w:type="gramStart"/>
      <w:r w:rsidRPr="007D3E59">
        <w:rPr>
          <w:rFonts w:ascii="Times New Roman" w:hAnsi="Times New Roman" w:cs="Times New Roman"/>
        </w:rPr>
        <w:t>позднее</w:t>
      </w:r>
      <w:proofErr w:type="gramEnd"/>
      <w:r w:rsidRPr="007D3E59">
        <w:rPr>
          <w:rFonts w:ascii="Times New Roman" w:hAnsi="Times New Roman" w:cs="Times New Roman"/>
        </w:rPr>
        <w:t xml:space="preserve"> чем за 10 (десять) рабочих дней до вступления его в силу. Отказ любой Стороны от Регламента не означает освобождения от обязательств по ранее совершенным сделкам и иным операциям, в том числе оплаты необходимых расходов и выплаты вознаграждения Компании в соответствии с тарифами, предусмотренными Регламентом</w:t>
      </w:r>
      <w:r w:rsidR="00CF2FD7" w:rsidRPr="007D3E59">
        <w:rPr>
          <w:rFonts w:ascii="Times New Roman" w:hAnsi="Times New Roman" w:cs="Times New Roman"/>
        </w:rPr>
        <w:t xml:space="preserve">. </w:t>
      </w:r>
    </w:p>
    <w:p w:rsidR="00D61007" w:rsidRPr="007D3E59" w:rsidRDefault="00CF18B9" w:rsidP="00256231">
      <w:pPr>
        <w:pStyle w:val="aa"/>
        <w:numPr>
          <w:ilvl w:val="0"/>
          <w:numId w:val="6"/>
        </w:numPr>
        <w:autoSpaceDE w:val="0"/>
        <w:autoSpaceDN w:val="0"/>
        <w:adjustRightInd w:val="0"/>
        <w:spacing w:after="0" w:line="240" w:lineRule="auto"/>
        <w:ind w:left="284" w:hanging="284"/>
        <w:jc w:val="both"/>
        <w:rPr>
          <w:rFonts w:ascii="Times New Roman" w:hAnsi="Times New Roman" w:cs="Times New Roman"/>
        </w:rPr>
      </w:pPr>
      <w:r w:rsidRPr="007D3E59">
        <w:rPr>
          <w:rFonts w:ascii="Times New Roman" w:hAnsi="Times New Roman" w:cs="Times New Roman"/>
        </w:rPr>
        <w:t xml:space="preserve"> </w:t>
      </w:r>
      <w:r w:rsidR="003621E0" w:rsidRPr="007D3E59">
        <w:rPr>
          <w:rFonts w:ascii="Times New Roman" w:hAnsi="Times New Roman" w:cs="Times New Roman"/>
        </w:rPr>
        <w:t>Все споры и разногласия между Компанией и Клиентом по поводу предоставления Компанией услуг на рынке ценных бумаг и совершения иных действий решаются только в претензионном порядке в соответствии с условиями Регламента</w:t>
      </w:r>
      <w:r w:rsidR="00CF2FD7" w:rsidRPr="007D3E59">
        <w:rPr>
          <w:rFonts w:ascii="Times New Roman" w:hAnsi="Times New Roman" w:cs="Times New Roman"/>
        </w:rPr>
        <w:t>.</w:t>
      </w:r>
    </w:p>
    <w:p w:rsidR="00CF2FD7" w:rsidRPr="007D3E59" w:rsidRDefault="003621E0" w:rsidP="00256231">
      <w:pPr>
        <w:pStyle w:val="aa"/>
        <w:numPr>
          <w:ilvl w:val="0"/>
          <w:numId w:val="6"/>
        </w:numPr>
        <w:autoSpaceDE w:val="0"/>
        <w:autoSpaceDN w:val="0"/>
        <w:adjustRightInd w:val="0"/>
        <w:spacing w:after="0" w:line="240" w:lineRule="auto"/>
        <w:ind w:left="284" w:hanging="284"/>
        <w:jc w:val="both"/>
        <w:rPr>
          <w:rFonts w:ascii="Times New Roman" w:hAnsi="Times New Roman" w:cs="Times New Roman"/>
        </w:rPr>
      </w:pPr>
      <w:r w:rsidRPr="007D3E59">
        <w:rPr>
          <w:rFonts w:ascii="Times New Roman" w:hAnsi="Times New Roman" w:cs="Times New Roman"/>
        </w:rPr>
        <w:t xml:space="preserve">При возникновении споров и разногласий между Компанией и Клиентом, Клиент направляет в Компанию в письменном виде обращение (жалобу). Компания принимает решение по полученной им жалобе и направляет ответ на поступившую к нему жалобу в течение </w:t>
      </w:r>
      <w:r w:rsidR="00F44D63">
        <w:rPr>
          <w:rFonts w:ascii="Times New Roman" w:hAnsi="Times New Roman" w:cs="Times New Roman"/>
        </w:rPr>
        <w:t>15</w:t>
      </w:r>
      <w:r w:rsidRPr="007D3E59">
        <w:rPr>
          <w:rFonts w:ascii="Times New Roman" w:hAnsi="Times New Roman" w:cs="Times New Roman"/>
        </w:rPr>
        <w:t xml:space="preserve"> </w:t>
      </w:r>
      <w:r w:rsidR="00F44D63">
        <w:rPr>
          <w:rFonts w:ascii="Times New Roman" w:hAnsi="Times New Roman" w:cs="Times New Roman"/>
        </w:rPr>
        <w:t>рабочих</w:t>
      </w:r>
      <w:r w:rsidRPr="007D3E59">
        <w:rPr>
          <w:rFonts w:ascii="Times New Roman" w:hAnsi="Times New Roman" w:cs="Times New Roman"/>
        </w:rPr>
        <w:t xml:space="preserve"> дней со дня ее получения. Ответ на жалобу, не требующую дополнительного изучения и проверки направляется в течение </w:t>
      </w:r>
      <w:r w:rsidR="00F44D63">
        <w:rPr>
          <w:rFonts w:ascii="Times New Roman" w:hAnsi="Times New Roman" w:cs="Times New Roman"/>
        </w:rPr>
        <w:t>10</w:t>
      </w:r>
      <w:r w:rsidRPr="007D3E59">
        <w:rPr>
          <w:rFonts w:ascii="Times New Roman" w:hAnsi="Times New Roman" w:cs="Times New Roman"/>
        </w:rPr>
        <w:t xml:space="preserve"> </w:t>
      </w:r>
      <w:r w:rsidR="00F44D63">
        <w:rPr>
          <w:rFonts w:ascii="Times New Roman" w:hAnsi="Times New Roman" w:cs="Times New Roman"/>
        </w:rPr>
        <w:t>рабочих</w:t>
      </w:r>
      <w:r w:rsidRPr="007D3E59">
        <w:rPr>
          <w:rFonts w:ascii="Times New Roman" w:hAnsi="Times New Roman" w:cs="Times New Roman"/>
        </w:rPr>
        <w:t xml:space="preserve"> дней </w:t>
      </w:r>
      <w:proofErr w:type="gramStart"/>
      <w:r w:rsidRPr="007D3E59">
        <w:rPr>
          <w:rFonts w:ascii="Times New Roman" w:hAnsi="Times New Roman" w:cs="Times New Roman"/>
        </w:rPr>
        <w:t>с даты</w:t>
      </w:r>
      <w:proofErr w:type="gramEnd"/>
      <w:r w:rsidRPr="007D3E59">
        <w:rPr>
          <w:rFonts w:ascii="Times New Roman" w:hAnsi="Times New Roman" w:cs="Times New Roman"/>
        </w:rPr>
        <w:t xml:space="preserve"> ее получения Компанией</w:t>
      </w:r>
      <w:r w:rsidR="00CF2FD7" w:rsidRPr="007D3E59">
        <w:rPr>
          <w:rFonts w:ascii="Times New Roman" w:hAnsi="Times New Roman" w:cs="Times New Roman"/>
        </w:rPr>
        <w:t>. Обращение</w:t>
      </w:r>
      <w:r w:rsidR="000D642F" w:rsidRPr="007D3E59">
        <w:rPr>
          <w:rFonts w:ascii="Times New Roman" w:hAnsi="Times New Roman" w:cs="Times New Roman"/>
        </w:rPr>
        <w:t xml:space="preserve"> </w:t>
      </w:r>
      <w:r w:rsidR="00CF2FD7" w:rsidRPr="007D3E59">
        <w:rPr>
          <w:rFonts w:ascii="Times New Roman" w:hAnsi="Times New Roman" w:cs="Times New Roman"/>
        </w:rPr>
        <w:t>(жалобу) можно отправить следующими способами:</w:t>
      </w:r>
    </w:p>
    <w:p w:rsidR="00F44D63" w:rsidRDefault="00CF2FD7" w:rsidP="00256231">
      <w:pPr>
        <w:pStyle w:val="aa"/>
        <w:numPr>
          <w:ilvl w:val="0"/>
          <w:numId w:val="9"/>
        </w:numPr>
        <w:autoSpaceDE w:val="0"/>
        <w:autoSpaceDN w:val="0"/>
        <w:adjustRightInd w:val="0"/>
        <w:spacing w:after="0" w:line="240" w:lineRule="auto"/>
        <w:ind w:left="709" w:hanging="425"/>
        <w:jc w:val="both"/>
        <w:rPr>
          <w:rFonts w:ascii="Times New Roman" w:hAnsi="Times New Roman" w:cs="Times New Roman"/>
        </w:rPr>
      </w:pPr>
      <w:r w:rsidRPr="007D3E59">
        <w:rPr>
          <w:rFonts w:ascii="Times New Roman" w:hAnsi="Times New Roman" w:cs="Times New Roman"/>
        </w:rPr>
        <w:t>в письменном виде по адрес</w:t>
      </w:r>
      <w:r w:rsidR="00F44D63">
        <w:rPr>
          <w:rFonts w:ascii="Times New Roman" w:hAnsi="Times New Roman" w:cs="Times New Roman"/>
        </w:rPr>
        <w:t>ам:</w:t>
      </w:r>
    </w:p>
    <w:p w:rsidR="009E14EF" w:rsidRPr="009E14EF" w:rsidRDefault="009E14EF" w:rsidP="00F44D63">
      <w:pPr>
        <w:pStyle w:val="aa"/>
        <w:numPr>
          <w:ilvl w:val="0"/>
          <w:numId w:val="12"/>
        </w:numPr>
        <w:autoSpaceDE w:val="0"/>
        <w:autoSpaceDN w:val="0"/>
        <w:adjustRightInd w:val="0"/>
        <w:spacing w:after="0" w:line="240" w:lineRule="auto"/>
        <w:jc w:val="both"/>
        <w:rPr>
          <w:rFonts w:ascii="Times New Roman" w:hAnsi="Times New Roman" w:cs="Times New Roman"/>
        </w:rPr>
      </w:pPr>
      <w:r w:rsidRPr="009E14EF">
        <w:rPr>
          <w:rFonts w:ascii="Times New Roman" w:hAnsi="Times New Roman" w:cs="Times New Roman"/>
          <w:color w:val="0D0D0D" w:themeColor="text1" w:themeTint="F2"/>
        </w:rPr>
        <w:t>123557, Г.МОСКВА, ВН</w:t>
      </w:r>
      <w:proofErr w:type="gramStart"/>
      <w:r w:rsidRPr="009E14EF">
        <w:rPr>
          <w:rFonts w:ascii="Times New Roman" w:hAnsi="Times New Roman" w:cs="Times New Roman"/>
          <w:color w:val="0D0D0D" w:themeColor="text1" w:themeTint="F2"/>
        </w:rPr>
        <w:t>.Т</w:t>
      </w:r>
      <w:proofErr w:type="gramEnd"/>
      <w:r w:rsidRPr="009E14EF">
        <w:rPr>
          <w:rFonts w:ascii="Times New Roman" w:hAnsi="Times New Roman" w:cs="Times New Roman"/>
          <w:color w:val="0D0D0D" w:themeColor="text1" w:themeTint="F2"/>
        </w:rPr>
        <w:t>ЕР.Г. МУНИЦИПАЛЬНЫЙ ОКРУГ ПРЕСНЕНСКИЙ, ПЕР БОЛЬШОЙ ТИШИНСКИЙ, Д. 8 СТР. 2, ПОМЕЩ. 1</w:t>
      </w:r>
      <w:r w:rsidRPr="009E14EF">
        <w:rPr>
          <w:rFonts w:ascii="Times New Roman" w:hAnsi="Times New Roman" w:cs="Times New Roman"/>
          <w:color w:val="0D0D0D" w:themeColor="text1" w:themeTint="F2"/>
          <w:lang w:val="en-US"/>
        </w:rPr>
        <w:t>/1</w:t>
      </w:r>
    </w:p>
    <w:p w:rsidR="00CF18B9" w:rsidRPr="009E14EF" w:rsidRDefault="009E14EF" w:rsidP="00F44D63">
      <w:pPr>
        <w:pStyle w:val="aa"/>
        <w:numPr>
          <w:ilvl w:val="0"/>
          <w:numId w:val="12"/>
        </w:numPr>
        <w:autoSpaceDE w:val="0"/>
        <w:autoSpaceDN w:val="0"/>
        <w:adjustRightInd w:val="0"/>
        <w:spacing w:after="0" w:line="240" w:lineRule="auto"/>
        <w:jc w:val="both"/>
        <w:rPr>
          <w:rFonts w:ascii="Times New Roman" w:hAnsi="Times New Roman" w:cs="Times New Roman"/>
        </w:rPr>
      </w:pPr>
      <w:r w:rsidRPr="009E14EF">
        <w:rPr>
          <w:rFonts w:ascii="Times New Roman" w:hAnsi="Times New Roman" w:cs="Times New Roman"/>
          <w:bCs/>
          <w:color w:val="0D0D0D" w:themeColor="text1" w:themeTint="F2"/>
          <w:lang w:eastAsia="zh-CN"/>
        </w:rPr>
        <w:t xml:space="preserve">123557, г. Москва, пер. Большой Тишинский, д. 8, стр. 2, </w:t>
      </w:r>
      <w:proofErr w:type="spellStart"/>
      <w:r w:rsidRPr="009E14EF">
        <w:rPr>
          <w:rFonts w:ascii="Times New Roman" w:hAnsi="Times New Roman" w:cs="Times New Roman"/>
          <w:bCs/>
          <w:color w:val="0D0D0D" w:themeColor="text1" w:themeTint="F2"/>
          <w:lang w:eastAsia="zh-CN"/>
        </w:rPr>
        <w:t>помещ</w:t>
      </w:r>
      <w:proofErr w:type="spellEnd"/>
      <w:r w:rsidRPr="009E14EF">
        <w:rPr>
          <w:rFonts w:ascii="Times New Roman" w:hAnsi="Times New Roman" w:cs="Times New Roman"/>
          <w:bCs/>
          <w:color w:val="0D0D0D" w:themeColor="text1" w:themeTint="F2"/>
          <w:lang w:eastAsia="zh-CN"/>
        </w:rPr>
        <w:t>. 1/1</w:t>
      </w:r>
    </w:p>
    <w:p w:rsidR="00CF2FD7" w:rsidRPr="009E14EF" w:rsidRDefault="00CF2FD7" w:rsidP="009E14EF">
      <w:pPr>
        <w:pStyle w:val="a4"/>
        <w:numPr>
          <w:ilvl w:val="0"/>
          <w:numId w:val="12"/>
        </w:numPr>
        <w:rPr>
          <w:rFonts w:ascii="Times New Roman" w:eastAsia="Times New Roman" w:hAnsi="Times New Roman" w:cs="Times New Roman"/>
          <w:b/>
          <w:lang w:eastAsia="ru-RU"/>
        </w:rPr>
      </w:pPr>
      <w:r w:rsidRPr="009E14EF">
        <w:rPr>
          <w:rFonts w:ascii="Times New Roman" w:hAnsi="Times New Roman" w:cs="Times New Roman"/>
        </w:rPr>
        <w:t>в электронном виде на e-</w:t>
      </w:r>
      <w:proofErr w:type="spellStart"/>
      <w:r w:rsidRPr="009E14EF">
        <w:rPr>
          <w:rFonts w:ascii="Times New Roman" w:hAnsi="Times New Roman" w:cs="Times New Roman"/>
        </w:rPr>
        <w:t>mail</w:t>
      </w:r>
      <w:proofErr w:type="spellEnd"/>
      <w:r w:rsidRPr="009E14EF">
        <w:rPr>
          <w:rFonts w:ascii="Times New Roman" w:hAnsi="Times New Roman" w:cs="Times New Roman"/>
        </w:rPr>
        <w:t>: </w:t>
      </w:r>
      <w:hyperlink r:id="rId8" w:history="1">
        <w:r w:rsidR="009E14EF" w:rsidRPr="009E14EF">
          <w:rPr>
            <w:rFonts w:ascii="Times New Roman" w:eastAsia="Times New Roman" w:hAnsi="Times New Roman" w:cs="Times New Roman"/>
            <w:b/>
            <w:color w:val="0000FF" w:themeColor="hyperlink"/>
            <w:u w:val="single"/>
            <w:lang w:val="en-US" w:eastAsia="ru-RU"/>
          </w:rPr>
          <w:t>corp</w:t>
        </w:r>
        <w:r w:rsidR="009E14EF" w:rsidRPr="009E14EF">
          <w:rPr>
            <w:rFonts w:ascii="Times New Roman" w:eastAsia="Times New Roman" w:hAnsi="Times New Roman" w:cs="Times New Roman"/>
            <w:b/>
            <w:color w:val="0000FF" w:themeColor="hyperlink"/>
            <w:u w:val="single"/>
            <w:lang w:eastAsia="ru-RU"/>
          </w:rPr>
          <w:t>@</w:t>
        </w:r>
        <w:r w:rsidR="009E14EF" w:rsidRPr="009E14EF">
          <w:rPr>
            <w:rFonts w:ascii="Times New Roman" w:eastAsia="Times New Roman" w:hAnsi="Times New Roman" w:cs="Times New Roman"/>
            <w:b/>
            <w:color w:val="0000FF" w:themeColor="hyperlink"/>
            <w:u w:val="single"/>
            <w:lang w:val="en-US" w:eastAsia="ru-RU"/>
          </w:rPr>
          <w:t>arsinvest</w:t>
        </w:r>
        <w:r w:rsidR="009E14EF" w:rsidRPr="009E14EF">
          <w:rPr>
            <w:rFonts w:ascii="Times New Roman" w:eastAsia="Times New Roman" w:hAnsi="Times New Roman" w:cs="Times New Roman"/>
            <w:b/>
            <w:color w:val="0000FF" w:themeColor="hyperlink"/>
            <w:u w:val="single"/>
            <w:lang w:eastAsia="ru-RU"/>
          </w:rPr>
          <w:t>.</w:t>
        </w:r>
        <w:proofErr w:type="spellStart"/>
        <w:r w:rsidR="009E14EF" w:rsidRPr="009E14EF">
          <w:rPr>
            <w:rFonts w:ascii="Times New Roman" w:eastAsia="Times New Roman" w:hAnsi="Times New Roman" w:cs="Times New Roman"/>
            <w:b/>
            <w:color w:val="0000FF" w:themeColor="hyperlink"/>
            <w:u w:val="single"/>
            <w:lang w:eastAsia="ru-RU"/>
          </w:rPr>
          <w:t>ru</w:t>
        </w:r>
        <w:proofErr w:type="spellEnd"/>
      </w:hyperlink>
    </w:p>
    <w:p w:rsidR="00F44D63" w:rsidRPr="009E14EF" w:rsidRDefault="00F44D63" w:rsidP="00256231">
      <w:pPr>
        <w:pStyle w:val="aa"/>
        <w:numPr>
          <w:ilvl w:val="0"/>
          <w:numId w:val="9"/>
        </w:numPr>
        <w:autoSpaceDE w:val="0"/>
        <w:autoSpaceDN w:val="0"/>
        <w:adjustRightInd w:val="0"/>
        <w:spacing w:after="0" w:line="240" w:lineRule="auto"/>
        <w:ind w:left="709" w:hanging="425"/>
        <w:jc w:val="both"/>
        <w:rPr>
          <w:rFonts w:ascii="Times New Roman" w:hAnsi="Times New Roman" w:cs="Times New Roman"/>
        </w:rPr>
      </w:pPr>
      <w:r w:rsidRPr="009E14EF">
        <w:rPr>
          <w:rFonts w:ascii="Times New Roman" w:hAnsi="Times New Roman" w:cs="Times New Roman"/>
        </w:rPr>
        <w:t xml:space="preserve">заполнить форму обращения на сайте Компании </w:t>
      </w:r>
      <w:r w:rsidR="009E14EF" w:rsidRPr="009E14EF">
        <w:rPr>
          <w:rFonts w:ascii="Times New Roman" w:hAnsi="Times New Roman" w:cs="Times New Roman"/>
          <w:color w:val="0D0D0D"/>
          <w:lang w:val="en-US"/>
        </w:rPr>
        <w:t>http</w:t>
      </w:r>
      <w:r w:rsidR="009E14EF" w:rsidRPr="009E14EF">
        <w:rPr>
          <w:rFonts w:ascii="Times New Roman" w:hAnsi="Times New Roman" w:cs="Times New Roman"/>
          <w:color w:val="0D0D0D"/>
        </w:rPr>
        <w:t>://</w:t>
      </w:r>
      <w:r w:rsidR="009E14EF" w:rsidRPr="009E14EF">
        <w:rPr>
          <w:rFonts w:ascii="Times New Roman" w:hAnsi="Times New Roman" w:cs="Times New Roman"/>
          <w:color w:val="0D0D0D"/>
          <w:lang w:val="en-US"/>
        </w:rPr>
        <w:t>www</w:t>
      </w:r>
      <w:r w:rsidR="009E14EF" w:rsidRPr="009E14EF">
        <w:rPr>
          <w:rFonts w:ascii="Times New Roman" w:hAnsi="Times New Roman" w:cs="Times New Roman"/>
          <w:color w:val="0D0D0D"/>
        </w:rPr>
        <w:t>.</w:t>
      </w:r>
      <w:proofErr w:type="spellStart"/>
      <w:r w:rsidR="009E14EF" w:rsidRPr="009E14EF">
        <w:rPr>
          <w:rFonts w:ascii="Times New Roman" w:hAnsi="Times New Roman" w:cs="Times New Roman"/>
          <w:color w:val="0D0D0D"/>
          <w:lang w:val="en-US"/>
        </w:rPr>
        <w:t>arsinvest</w:t>
      </w:r>
      <w:proofErr w:type="spellEnd"/>
      <w:r w:rsidR="009E14EF" w:rsidRPr="009E14EF">
        <w:rPr>
          <w:rFonts w:ascii="Times New Roman" w:hAnsi="Times New Roman" w:cs="Times New Roman"/>
          <w:color w:val="0D0D0D"/>
        </w:rPr>
        <w:t>.</w:t>
      </w:r>
      <w:proofErr w:type="spellStart"/>
      <w:r w:rsidR="009E14EF" w:rsidRPr="009E14EF">
        <w:rPr>
          <w:rFonts w:ascii="Times New Roman" w:hAnsi="Times New Roman" w:cs="Times New Roman"/>
          <w:color w:val="0D0D0D"/>
          <w:lang w:val="en-US"/>
        </w:rPr>
        <w:t>ru</w:t>
      </w:r>
      <w:proofErr w:type="spellEnd"/>
    </w:p>
    <w:p w:rsidR="00F32BE6" w:rsidRPr="007D3E59" w:rsidRDefault="00F32BE6" w:rsidP="00256231">
      <w:pPr>
        <w:pStyle w:val="aa"/>
        <w:numPr>
          <w:ilvl w:val="0"/>
          <w:numId w:val="6"/>
        </w:numPr>
        <w:autoSpaceDE w:val="0"/>
        <w:autoSpaceDN w:val="0"/>
        <w:adjustRightInd w:val="0"/>
        <w:spacing w:after="0" w:line="240" w:lineRule="auto"/>
        <w:ind w:left="284" w:hanging="284"/>
        <w:jc w:val="both"/>
        <w:rPr>
          <w:rFonts w:ascii="Times New Roman" w:hAnsi="Times New Roman" w:cs="Times New Roman"/>
        </w:rPr>
      </w:pPr>
      <w:proofErr w:type="gramStart"/>
      <w:r w:rsidRPr="007D3E59">
        <w:rPr>
          <w:rFonts w:ascii="Times New Roman" w:hAnsi="Times New Roman" w:cs="Times New Roman"/>
        </w:rPr>
        <w:t>Регламент определяет порядок и условия взаимодействия Компании и Клиента при совершении сделок и иных операций с Инструментами и денежными средствами Клиента на биржевом и внебиржевом рынках, а также в ходе предоставления Компанией Клиенту следующих видов услуг:</w:t>
      </w:r>
      <w:proofErr w:type="gramEnd"/>
    </w:p>
    <w:p w:rsidR="00F32BE6" w:rsidRPr="007D3E59" w:rsidRDefault="00F32BE6" w:rsidP="00256231">
      <w:pPr>
        <w:pStyle w:val="aa"/>
        <w:numPr>
          <w:ilvl w:val="0"/>
          <w:numId w:val="9"/>
        </w:numPr>
        <w:autoSpaceDE w:val="0"/>
        <w:autoSpaceDN w:val="0"/>
        <w:adjustRightInd w:val="0"/>
        <w:spacing w:after="0" w:line="240" w:lineRule="auto"/>
        <w:ind w:left="709" w:hanging="425"/>
        <w:jc w:val="both"/>
        <w:rPr>
          <w:rFonts w:ascii="Times New Roman" w:hAnsi="Times New Roman" w:cs="Times New Roman"/>
        </w:rPr>
      </w:pPr>
      <w:r w:rsidRPr="007D3E59">
        <w:rPr>
          <w:rFonts w:ascii="Times New Roman" w:hAnsi="Times New Roman" w:cs="Times New Roman"/>
        </w:rPr>
        <w:t>услуг по совершению сделок с Инструментами от своего имени или от имени Клиента и за счет Клиента;</w:t>
      </w:r>
    </w:p>
    <w:p w:rsidR="00F32BE6" w:rsidRPr="007D3E59" w:rsidRDefault="00F32BE6" w:rsidP="00256231">
      <w:pPr>
        <w:pStyle w:val="aa"/>
        <w:numPr>
          <w:ilvl w:val="0"/>
          <w:numId w:val="9"/>
        </w:numPr>
        <w:autoSpaceDE w:val="0"/>
        <w:autoSpaceDN w:val="0"/>
        <w:adjustRightInd w:val="0"/>
        <w:spacing w:after="0" w:line="240" w:lineRule="auto"/>
        <w:ind w:left="709" w:hanging="425"/>
        <w:jc w:val="both"/>
        <w:rPr>
          <w:rFonts w:ascii="Times New Roman" w:hAnsi="Times New Roman" w:cs="Times New Roman"/>
        </w:rPr>
      </w:pPr>
      <w:r w:rsidRPr="007D3E59">
        <w:rPr>
          <w:rFonts w:ascii="Times New Roman" w:hAnsi="Times New Roman" w:cs="Times New Roman"/>
        </w:rPr>
        <w:t>услуг по совершению срочных и форвардных сделок с Инструментами от своего имени или от имени Клиента и за счет Клиента;</w:t>
      </w:r>
    </w:p>
    <w:p w:rsidR="00F32BE6" w:rsidRPr="007D3E59" w:rsidRDefault="00F32BE6" w:rsidP="00256231">
      <w:pPr>
        <w:pStyle w:val="aa"/>
        <w:numPr>
          <w:ilvl w:val="0"/>
          <w:numId w:val="9"/>
        </w:numPr>
        <w:autoSpaceDE w:val="0"/>
        <w:autoSpaceDN w:val="0"/>
        <w:adjustRightInd w:val="0"/>
        <w:spacing w:after="0" w:line="240" w:lineRule="auto"/>
        <w:ind w:left="709" w:hanging="425"/>
        <w:jc w:val="both"/>
        <w:rPr>
          <w:rFonts w:ascii="Times New Roman" w:hAnsi="Times New Roman" w:cs="Times New Roman"/>
        </w:rPr>
      </w:pPr>
      <w:r w:rsidRPr="007D3E59">
        <w:rPr>
          <w:rFonts w:ascii="Times New Roman" w:hAnsi="Times New Roman" w:cs="Times New Roman"/>
        </w:rPr>
        <w:t xml:space="preserve">услуг по совершению Конверсионных сделок (в </w:t>
      </w:r>
      <w:proofErr w:type="spellStart"/>
      <w:r w:rsidRPr="007D3E59">
        <w:rPr>
          <w:rFonts w:ascii="Times New Roman" w:hAnsi="Times New Roman" w:cs="Times New Roman"/>
        </w:rPr>
        <w:t>т.ч</w:t>
      </w:r>
      <w:proofErr w:type="spellEnd"/>
      <w:r w:rsidRPr="007D3E59">
        <w:rPr>
          <w:rFonts w:ascii="Times New Roman" w:hAnsi="Times New Roman" w:cs="Times New Roman"/>
        </w:rPr>
        <w:t>. Валютных свопов) на валютном рынке;</w:t>
      </w:r>
    </w:p>
    <w:p w:rsidR="00F32BE6" w:rsidRPr="007D3E59" w:rsidRDefault="00F32BE6" w:rsidP="00256231">
      <w:pPr>
        <w:pStyle w:val="aa"/>
        <w:numPr>
          <w:ilvl w:val="0"/>
          <w:numId w:val="9"/>
        </w:numPr>
        <w:autoSpaceDE w:val="0"/>
        <w:autoSpaceDN w:val="0"/>
        <w:adjustRightInd w:val="0"/>
        <w:spacing w:after="0" w:line="240" w:lineRule="auto"/>
        <w:ind w:left="709" w:hanging="425"/>
        <w:jc w:val="both"/>
        <w:rPr>
          <w:rFonts w:ascii="Times New Roman" w:hAnsi="Times New Roman" w:cs="Times New Roman"/>
        </w:rPr>
      </w:pPr>
      <w:r w:rsidRPr="007D3E59">
        <w:rPr>
          <w:rFonts w:ascii="Times New Roman" w:hAnsi="Times New Roman" w:cs="Times New Roman"/>
        </w:rPr>
        <w:t>совершения иных юридических и фактических действий, оговоренных в Регламенте.</w:t>
      </w:r>
    </w:p>
    <w:p w:rsidR="003621E0" w:rsidRPr="007D3E59" w:rsidRDefault="003621E0" w:rsidP="000D642F">
      <w:pPr>
        <w:autoSpaceDE w:val="0"/>
        <w:autoSpaceDN w:val="0"/>
        <w:adjustRightInd w:val="0"/>
        <w:spacing w:after="0" w:line="240" w:lineRule="auto"/>
        <w:jc w:val="both"/>
        <w:rPr>
          <w:rFonts w:ascii="Times New Roman" w:hAnsi="Times New Roman" w:cs="Times New Roman"/>
          <w:color w:val="FF0000"/>
        </w:rPr>
      </w:pPr>
    </w:p>
    <w:p w:rsidR="00CF2FD7" w:rsidRPr="009E14EF" w:rsidRDefault="002A5907" w:rsidP="00256231">
      <w:pPr>
        <w:pStyle w:val="aa"/>
        <w:numPr>
          <w:ilvl w:val="0"/>
          <w:numId w:val="6"/>
        </w:numPr>
        <w:autoSpaceDE w:val="0"/>
        <w:autoSpaceDN w:val="0"/>
        <w:adjustRightInd w:val="0"/>
        <w:spacing w:after="0" w:line="240" w:lineRule="auto"/>
        <w:ind w:left="284" w:hanging="284"/>
        <w:jc w:val="both"/>
        <w:rPr>
          <w:rFonts w:ascii="Times New Roman" w:hAnsi="Times New Roman" w:cs="Times New Roman"/>
        </w:rPr>
      </w:pPr>
      <w:r w:rsidRPr="009E14EF">
        <w:rPr>
          <w:rFonts w:ascii="Times New Roman" w:hAnsi="Times New Roman" w:cs="Times New Roman"/>
        </w:rPr>
        <w:t>Для совершения сделок с иностранными ценными бумагами</w:t>
      </w:r>
      <w:r w:rsidR="00256231" w:rsidRPr="009E14EF">
        <w:rPr>
          <w:rFonts w:ascii="Times New Roman" w:hAnsi="Times New Roman" w:cs="Times New Roman"/>
        </w:rPr>
        <w:t>,</w:t>
      </w:r>
      <w:r w:rsidRPr="009E14EF">
        <w:rPr>
          <w:rFonts w:ascii="Times New Roman" w:hAnsi="Times New Roman" w:cs="Times New Roman"/>
        </w:rPr>
        <w:t xml:space="preserve"> согласно требованиям Законодательства РФ</w:t>
      </w:r>
      <w:r w:rsidR="00256231" w:rsidRPr="009E14EF">
        <w:rPr>
          <w:rFonts w:ascii="Times New Roman" w:hAnsi="Times New Roman" w:cs="Times New Roman"/>
        </w:rPr>
        <w:t>,</w:t>
      </w:r>
      <w:r w:rsidRPr="009E14EF">
        <w:rPr>
          <w:rFonts w:ascii="Times New Roman" w:hAnsi="Times New Roman" w:cs="Times New Roman"/>
        </w:rPr>
        <w:t xml:space="preserve"> предусматривается прохождение процедуры признания Клиента квалифицированным инвестором. Процедура признания Клиента квалифицированным инвестором проводится в соответствии с «Регламентом признания лиц квалифицированными </w:t>
      </w:r>
      <w:r w:rsidRPr="009E14EF">
        <w:rPr>
          <w:rFonts w:ascii="Times New Roman" w:hAnsi="Times New Roman" w:cs="Times New Roman"/>
        </w:rPr>
        <w:lastRenderedPageBreak/>
        <w:t>инвесторам</w:t>
      </w:r>
      <w:proofErr w:type="gramStart"/>
      <w:r w:rsidRPr="009E14EF">
        <w:rPr>
          <w:rFonts w:ascii="Times New Roman" w:hAnsi="Times New Roman" w:cs="Times New Roman"/>
        </w:rPr>
        <w:t xml:space="preserve">и </w:t>
      </w:r>
      <w:r w:rsidR="009E14EF" w:rsidRPr="009E14EF">
        <w:rPr>
          <w:rFonts w:ascii="Times New Roman" w:hAnsi="Times New Roman" w:cs="Times New Roman"/>
        </w:rPr>
        <w:t>ООО</w:t>
      </w:r>
      <w:proofErr w:type="gramEnd"/>
      <w:r w:rsidR="009E14EF" w:rsidRPr="009E14EF">
        <w:rPr>
          <w:rFonts w:ascii="Times New Roman" w:hAnsi="Times New Roman" w:cs="Times New Roman"/>
        </w:rPr>
        <w:t xml:space="preserve"> «АРС Инвест» </w:t>
      </w:r>
      <w:r w:rsidR="00CF2FD7" w:rsidRPr="009E14EF">
        <w:rPr>
          <w:rFonts w:ascii="Times New Roman" w:hAnsi="Times New Roman" w:cs="Times New Roman"/>
        </w:rPr>
        <w:t xml:space="preserve"> Подробно с  Регламентом признания лиц квалифицированными инвесторами можно ознакомиться на сайте Компании </w:t>
      </w:r>
      <w:hyperlink r:id="rId9" w:history="1">
        <w:r w:rsidR="009E14EF" w:rsidRPr="009E14EF">
          <w:rPr>
            <w:rStyle w:val="ab"/>
            <w:rFonts w:ascii="Times New Roman" w:hAnsi="Times New Roman" w:cs="Times New Roman"/>
            <w:lang w:val="en-US"/>
          </w:rPr>
          <w:t>http</w:t>
        </w:r>
        <w:r w:rsidR="009E14EF" w:rsidRPr="009E14EF">
          <w:rPr>
            <w:rStyle w:val="ab"/>
            <w:rFonts w:ascii="Times New Roman" w:hAnsi="Times New Roman" w:cs="Times New Roman"/>
          </w:rPr>
          <w:t>://</w:t>
        </w:r>
        <w:r w:rsidR="009E14EF" w:rsidRPr="009E14EF">
          <w:rPr>
            <w:rStyle w:val="ab"/>
            <w:rFonts w:ascii="Times New Roman" w:hAnsi="Times New Roman" w:cs="Times New Roman"/>
            <w:lang w:val="en-US"/>
          </w:rPr>
          <w:t>www</w:t>
        </w:r>
        <w:r w:rsidR="009E14EF" w:rsidRPr="009E14EF">
          <w:rPr>
            <w:rStyle w:val="ab"/>
            <w:rFonts w:ascii="Times New Roman" w:hAnsi="Times New Roman" w:cs="Times New Roman"/>
          </w:rPr>
          <w:t>.</w:t>
        </w:r>
        <w:proofErr w:type="spellStart"/>
        <w:r w:rsidR="009E14EF" w:rsidRPr="009E14EF">
          <w:rPr>
            <w:rStyle w:val="ab"/>
            <w:rFonts w:ascii="Times New Roman" w:hAnsi="Times New Roman" w:cs="Times New Roman"/>
            <w:lang w:val="en-US"/>
          </w:rPr>
          <w:t>arsinvest</w:t>
        </w:r>
        <w:proofErr w:type="spellEnd"/>
        <w:r w:rsidR="009E14EF" w:rsidRPr="009E14EF">
          <w:rPr>
            <w:rStyle w:val="ab"/>
            <w:rFonts w:ascii="Times New Roman" w:hAnsi="Times New Roman" w:cs="Times New Roman"/>
          </w:rPr>
          <w:t>.</w:t>
        </w:r>
        <w:proofErr w:type="spellStart"/>
        <w:r w:rsidR="009E14EF" w:rsidRPr="009E14EF">
          <w:rPr>
            <w:rStyle w:val="ab"/>
            <w:rFonts w:ascii="Times New Roman" w:hAnsi="Times New Roman" w:cs="Times New Roman"/>
            <w:lang w:val="en-US"/>
          </w:rPr>
          <w:t>ru</w:t>
        </w:r>
        <w:proofErr w:type="spellEnd"/>
      </w:hyperlink>
      <w:r w:rsidR="009E14EF" w:rsidRPr="009E14EF">
        <w:rPr>
          <w:rFonts w:ascii="Times New Roman" w:hAnsi="Times New Roman" w:cs="Times New Roman"/>
          <w:color w:val="0D0D0D"/>
        </w:rPr>
        <w:t xml:space="preserve"> </w:t>
      </w:r>
      <w:r w:rsidR="00CF2FD7" w:rsidRPr="009E14EF">
        <w:rPr>
          <w:rFonts w:ascii="Times New Roman" w:hAnsi="Times New Roman" w:cs="Times New Roman"/>
          <w:color w:val="31849B" w:themeColor="accent5" w:themeShade="BF"/>
        </w:rPr>
        <w:t xml:space="preserve"> </w:t>
      </w:r>
      <w:r w:rsidR="00CF2FD7" w:rsidRPr="009E14EF">
        <w:rPr>
          <w:rFonts w:ascii="Times New Roman" w:hAnsi="Times New Roman" w:cs="Times New Roman"/>
        </w:rPr>
        <w:t xml:space="preserve">в разделе </w:t>
      </w:r>
      <w:r w:rsidR="00256231" w:rsidRPr="009E14EF">
        <w:rPr>
          <w:rFonts w:ascii="Times New Roman" w:hAnsi="Times New Roman" w:cs="Times New Roman"/>
        </w:rPr>
        <w:t>«Б</w:t>
      </w:r>
      <w:r w:rsidR="00CF2FD7" w:rsidRPr="009E14EF">
        <w:rPr>
          <w:rFonts w:ascii="Times New Roman" w:hAnsi="Times New Roman" w:cs="Times New Roman"/>
        </w:rPr>
        <w:t>рокерское обслуживание</w:t>
      </w:r>
      <w:r w:rsidR="00256231" w:rsidRPr="009E14EF">
        <w:rPr>
          <w:rFonts w:ascii="Times New Roman" w:hAnsi="Times New Roman" w:cs="Times New Roman"/>
        </w:rPr>
        <w:t>»</w:t>
      </w:r>
      <w:r w:rsidR="00CF2FD7" w:rsidRPr="009E14EF">
        <w:rPr>
          <w:rFonts w:ascii="Times New Roman" w:hAnsi="Times New Roman" w:cs="Times New Roman"/>
        </w:rPr>
        <w:t>.</w:t>
      </w:r>
    </w:p>
    <w:p w:rsidR="00F32BE6" w:rsidRPr="007D3E59" w:rsidRDefault="00F32BE6" w:rsidP="00256231">
      <w:pPr>
        <w:pStyle w:val="aa"/>
        <w:numPr>
          <w:ilvl w:val="0"/>
          <w:numId w:val="6"/>
        </w:numPr>
        <w:autoSpaceDE w:val="0"/>
        <w:autoSpaceDN w:val="0"/>
        <w:adjustRightInd w:val="0"/>
        <w:spacing w:after="0" w:line="240" w:lineRule="auto"/>
        <w:ind w:left="284" w:hanging="284"/>
        <w:jc w:val="both"/>
        <w:rPr>
          <w:rFonts w:ascii="Times New Roman" w:hAnsi="Times New Roman" w:cs="Times New Roman"/>
        </w:rPr>
      </w:pPr>
      <w:r w:rsidRPr="007D3E59">
        <w:rPr>
          <w:rFonts w:ascii="Times New Roman" w:hAnsi="Times New Roman" w:cs="Times New Roman"/>
        </w:rPr>
        <w:t xml:space="preserve">Компания проводит тестирование клиентов физических лиц - неквалифицированных инвесторов при подаче  ими поручений на сделки  в отношении следующих </w:t>
      </w:r>
      <w:bookmarkStart w:id="0" w:name="_Hlk72855722"/>
      <w:r w:rsidRPr="007D3E59">
        <w:rPr>
          <w:rFonts w:ascii="Times New Roman" w:hAnsi="Times New Roman" w:cs="Times New Roman"/>
        </w:rPr>
        <w:t>видов сделок (договоров)</w:t>
      </w:r>
      <w:bookmarkEnd w:id="0"/>
      <w:r w:rsidRPr="007D3E59">
        <w:rPr>
          <w:rFonts w:ascii="Times New Roman" w:hAnsi="Times New Roman" w:cs="Times New Roman"/>
        </w:rPr>
        <w:t>:</w:t>
      </w:r>
    </w:p>
    <w:p w:rsidR="00F32BE6" w:rsidRPr="007D3E59" w:rsidRDefault="00F32BE6" w:rsidP="00256231">
      <w:pPr>
        <w:pStyle w:val="aa"/>
        <w:numPr>
          <w:ilvl w:val="0"/>
          <w:numId w:val="9"/>
        </w:numPr>
        <w:autoSpaceDE w:val="0"/>
        <w:autoSpaceDN w:val="0"/>
        <w:adjustRightInd w:val="0"/>
        <w:spacing w:after="0" w:line="240" w:lineRule="auto"/>
        <w:ind w:left="709" w:hanging="425"/>
        <w:jc w:val="both"/>
        <w:rPr>
          <w:rFonts w:ascii="Times New Roman" w:hAnsi="Times New Roman" w:cs="Times New Roman"/>
        </w:rPr>
      </w:pPr>
      <w:r w:rsidRPr="007D3E59">
        <w:rPr>
          <w:rFonts w:ascii="Times New Roman" w:hAnsi="Times New Roman" w:cs="Times New Roman"/>
        </w:rPr>
        <w:t>необеспеченные сделки;</w:t>
      </w:r>
    </w:p>
    <w:p w:rsidR="00F32BE6" w:rsidRPr="007D3E59" w:rsidRDefault="00F32BE6" w:rsidP="00256231">
      <w:pPr>
        <w:pStyle w:val="aa"/>
        <w:numPr>
          <w:ilvl w:val="0"/>
          <w:numId w:val="9"/>
        </w:numPr>
        <w:autoSpaceDE w:val="0"/>
        <w:autoSpaceDN w:val="0"/>
        <w:adjustRightInd w:val="0"/>
        <w:spacing w:after="0" w:line="240" w:lineRule="auto"/>
        <w:ind w:left="709" w:hanging="425"/>
        <w:jc w:val="both"/>
        <w:rPr>
          <w:rFonts w:ascii="Times New Roman" w:hAnsi="Times New Roman" w:cs="Times New Roman"/>
        </w:rPr>
      </w:pPr>
      <w:r w:rsidRPr="007D3E59">
        <w:rPr>
          <w:rFonts w:ascii="Times New Roman" w:hAnsi="Times New Roman" w:cs="Times New Roman"/>
        </w:rPr>
        <w:t>договоры, являющиеся производными финансовыми инструментами и не предназначенные для квалифицированных инвесторов;</w:t>
      </w:r>
    </w:p>
    <w:p w:rsidR="00F32BE6" w:rsidRPr="007D3E59" w:rsidRDefault="00F32BE6" w:rsidP="00256231">
      <w:pPr>
        <w:pStyle w:val="aa"/>
        <w:numPr>
          <w:ilvl w:val="0"/>
          <w:numId w:val="9"/>
        </w:numPr>
        <w:autoSpaceDE w:val="0"/>
        <w:autoSpaceDN w:val="0"/>
        <w:adjustRightInd w:val="0"/>
        <w:spacing w:after="0" w:line="240" w:lineRule="auto"/>
        <w:ind w:left="709" w:hanging="425"/>
        <w:jc w:val="both"/>
        <w:rPr>
          <w:rFonts w:ascii="Times New Roman" w:hAnsi="Times New Roman" w:cs="Times New Roman"/>
        </w:rPr>
      </w:pPr>
      <w:r w:rsidRPr="007D3E59">
        <w:rPr>
          <w:rFonts w:ascii="Times New Roman" w:hAnsi="Times New Roman" w:cs="Times New Roman"/>
        </w:rPr>
        <w:t xml:space="preserve">договоры </w:t>
      </w:r>
      <w:proofErr w:type="spellStart"/>
      <w:r w:rsidRPr="007D3E59">
        <w:rPr>
          <w:rFonts w:ascii="Times New Roman" w:hAnsi="Times New Roman" w:cs="Times New Roman"/>
        </w:rPr>
        <w:t>репо</w:t>
      </w:r>
      <w:proofErr w:type="spellEnd"/>
      <w:r w:rsidRPr="007D3E59">
        <w:rPr>
          <w:rFonts w:ascii="Times New Roman" w:hAnsi="Times New Roman" w:cs="Times New Roman"/>
        </w:rPr>
        <w:t>, требующие проведения тестирования;</w:t>
      </w:r>
    </w:p>
    <w:p w:rsidR="00F32BE6" w:rsidRPr="007D3E59" w:rsidRDefault="00F32BE6" w:rsidP="00256231">
      <w:pPr>
        <w:pStyle w:val="aa"/>
        <w:numPr>
          <w:ilvl w:val="0"/>
          <w:numId w:val="9"/>
        </w:numPr>
        <w:autoSpaceDE w:val="0"/>
        <w:autoSpaceDN w:val="0"/>
        <w:adjustRightInd w:val="0"/>
        <w:spacing w:after="0" w:line="240" w:lineRule="auto"/>
        <w:ind w:left="709" w:hanging="425"/>
        <w:jc w:val="both"/>
        <w:rPr>
          <w:rFonts w:ascii="Times New Roman" w:hAnsi="Times New Roman" w:cs="Times New Roman"/>
        </w:rPr>
      </w:pPr>
      <w:r w:rsidRPr="007D3E59">
        <w:rPr>
          <w:rFonts w:ascii="Times New Roman" w:hAnsi="Times New Roman" w:cs="Times New Roman"/>
        </w:rPr>
        <w:t>сделки по приобретению структурных облигаций, не предназначенных для квалифицированных инвесторов;</w:t>
      </w:r>
    </w:p>
    <w:p w:rsidR="00F32BE6" w:rsidRPr="007D3E59" w:rsidRDefault="00F32BE6" w:rsidP="00256231">
      <w:pPr>
        <w:pStyle w:val="aa"/>
        <w:numPr>
          <w:ilvl w:val="0"/>
          <w:numId w:val="9"/>
        </w:numPr>
        <w:autoSpaceDE w:val="0"/>
        <w:autoSpaceDN w:val="0"/>
        <w:adjustRightInd w:val="0"/>
        <w:spacing w:after="0" w:line="240" w:lineRule="auto"/>
        <w:ind w:left="709" w:hanging="425"/>
        <w:jc w:val="both"/>
        <w:rPr>
          <w:rFonts w:ascii="Times New Roman" w:hAnsi="Times New Roman" w:cs="Times New Roman"/>
        </w:rPr>
      </w:pPr>
      <w:r w:rsidRPr="007D3E59">
        <w:rPr>
          <w:rFonts w:ascii="Times New Roman" w:hAnsi="Times New Roman" w:cs="Times New Roman"/>
        </w:rPr>
        <w:t>сделки по приобретению инвестиционных паев закрытых паевых инвестиционных фондов, не предназначенных для квалифицированных инвесторов, требующих проведения тестирования;</w:t>
      </w:r>
    </w:p>
    <w:p w:rsidR="00F32BE6" w:rsidRPr="007D3E59" w:rsidRDefault="00F32BE6" w:rsidP="00256231">
      <w:pPr>
        <w:pStyle w:val="aa"/>
        <w:numPr>
          <w:ilvl w:val="0"/>
          <w:numId w:val="9"/>
        </w:numPr>
        <w:autoSpaceDE w:val="0"/>
        <w:autoSpaceDN w:val="0"/>
        <w:adjustRightInd w:val="0"/>
        <w:spacing w:after="0" w:line="240" w:lineRule="auto"/>
        <w:ind w:left="709" w:hanging="425"/>
        <w:jc w:val="both"/>
        <w:rPr>
          <w:rFonts w:ascii="Times New Roman" w:hAnsi="Times New Roman" w:cs="Times New Roman"/>
        </w:rPr>
      </w:pPr>
      <w:proofErr w:type="gramStart"/>
      <w:r w:rsidRPr="007D3E59">
        <w:rPr>
          <w:rFonts w:ascii="Times New Roman" w:hAnsi="Times New Roman" w:cs="Times New Roman"/>
        </w:rPr>
        <w:t xml:space="preserve">сделки по приобретению облигаций российских эмитентов, которым (эмитенту которых, лицу, предоставившему обеспечение по которым) не присвоен кредитный рейтинг либо кредитный рейтинг которых (эмитента которых, лица, предоставившего обеспечение по которым) ниже уровня, установленного Советом директоров Банка России; </w:t>
      </w:r>
      <w:proofErr w:type="gramEnd"/>
    </w:p>
    <w:p w:rsidR="00F32BE6" w:rsidRPr="007D3E59" w:rsidRDefault="00F32BE6" w:rsidP="00256231">
      <w:pPr>
        <w:pStyle w:val="aa"/>
        <w:numPr>
          <w:ilvl w:val="0"/>
          <w:numId w:val="9"/>
        </w:numPr>
        <w:autoSpaceDE w:val="0"/>
        <w:autoSpaceDN w:val="0"/>
        <w:adjustRightInd w:val="0"/>
        <w:spacing w:after="0" w:line="240" w:lineRule="auto"/>
        <w:ind w:left="709" w:hanging="425"/>
        <w:jc w:val="both"/>
        <w:rPr>
          <w:rFonts w:ascii="Times New Roman" w:hAnsi="Times New Roman" w:cs="Times New Roman"/>
        </w:rPr>
      </w:pPr>
      <w:r w:rsidRPr="007D3E59">
        <w:rPr>
          <w:rFonts w:ascii="Times New Roman" w:hAnsi="Times New Roman" w:cs="Times New Roman"/>
        </w:rPr>
        <w:t>сделки по приобретению облигаций иностранных эмитентов, исполнение обязательств по которым обеспечивается или осуществляется за счет юридического лица, созданного в соответствии с законодательством Российской Федерации, не имеющего кредитный рейтинг или кредитный рейтинг которого ниже уровня, установленного Советом директоров Банка России.</w:t>
      </w:r>
    </w:p>
    <w:p w:rsidR="00F32BE6" w:rsidRPr="007D3E59" w:rsidRDefault="00F32BE6" w:rsidP="00256231">
      <w:pPr>
        <w:pStyle w:val="aa"/>
        <w:numPr>
          <w:ilvl w:val="0"/>
          <w:numId w:val="9"/>
        </w:numPr>
        <w:autoSpaceDE w:val="0"/>
        <w:autoSpaceDN w:val="0"/>
        <w:adjustRightInd w:val="0"/>
        <w:spacing w:after="0" w:line="240" w:lineRule="auto"/>
        <w:ind w:left="709" w:hanging="425"/>
        <w:jc w:val="both"/>
        <w:rPr>
          <w:rFonts w:ascii="Times New Roman" w:hAnsi="Times New Roman" w:cs="Times New Roman"/>
        </w:rPr>
      </w:pPr>
      <w:r w:rsidRPr="007D3E59">
        <w:rPr>
          <w:rFonts w:ascii="Times New Roman" w:hAnsi="Times New Roman" w:cs="Times New Roman"/>
        </w:rPr>
        <w:t>сделки по приобретению облигаций со структурным доходом;</w:t>
      </w:r>
    </w:p>
    <w:p w:rsidR="00F32BE6" w:rsidRPr="007D3E59" w:rsidRDefault="00F32BE6" w:rsidP="00256231">
      <w:pPr>
        <w:pStyle w:val="aa"/>
        <w:numPr>
          <w:ilvl w:val="0"/>
          <w:numId w:val="9"/>
        </w:numPr>
        <w:autoSpaceDE w:val="0"/>
        <w:autoSpaceDN w:val="0"/>
        <w:adjustRightInd w:val="0"/>
        <w:spacing w:after="0" w:line="240" w:lineRule="auto"/>
        <w:ind w:left="709" w:hanging="425"/>
        <w:jc w:val="both"/>
        <w:rPr>
          <w:rFonts w:ascii="Times New Roman" w:hAnsi="Times New Roman" w:cs="Times New Roman"/>
        </w:rPr>
      </w:pPr>
      <w:r w:rsidRPr="007D3E59">
        <w:rPr>
          <w:rFonts w:ascii="Times New Roman" w:hAnsi="Times New Roman" w:cs="Times New Roman"/>
        </w:rPr>
        <w:t>сделки по приобретению акций, не включенных в котировальные списки;</w:t>
      </w:r>
    </w:p>
    <w:p w:rsidR="00F32BE6" w:rsidRPr="007D3E59" w:rsidRDefault="00F32BE6" w:rsidP="00256231">
      <w:pPr>
        <w:pStyle w:val="aa"/>
        <w:numPr>
          <w:ilvl w:val="0"/>
          <w:numId w:val="9"/>
        </w:numPr>
        <w:autoSpaceDE w:val="0"/>
        <w:autoSpaceDN w:val="0"/>
        <w:adjustRightInd w:val="0"/>
        <w:spacing w:after="0" w:line="240" w:lineRule="auto"/>
        <w:ind w:left="709" w:hanging="425"/>
        <w:jc w:val="both"/>
        <w:rPr>
          <w:rFonts w:ascii="Times New Roman" w:hAnsi="Times New Roman" w:cs="Times New Roman"/>
        </w:rPr>
      </w:pPr>
      <w:r w:rsidRPr="007D3E59">
        <w:rPr>
          <w:rFonts w:ascii="Times New Roman" w:hAnsi="Times New Roman" w:cs="Times New Roman"/>
        </w:rPr>
        <w:t>сделки по приобретению иностранных акций, требующие проведения тестирования;</w:t>
      </w:r>
    </w:p>
    <w:p w:rsidR="00F32BE6" w:rsidRPr="007D3E59" w:rsidRDefault="00F32BE6" w:rsidP="00256231">
      <w:pPr>
        <w:pStyle w:val="aa"/>
        <w:numPr>
          <w:ilvl w:val="0"/>
          <w:numId w:val="9"/>
        </w:numPr>
        <w:autoSpaceDE w:val="0"/>
        <w:autoSpaceDN w:val="0"/>
        <w:adjustRightInd w:val="0"/>
        <w:spacing w:after="0" w:line="240" w:lineRule="auto"/>
        <w:ind w:left="709" w:hanging="425"/>
        <w:jc w:val="both"/>
        <w:rPr>
          <w:rFonts w:ascii="Times New Roman" w:hAnsi="Times New Roman" w:cs="Times New Roman"/>
        </w:rPr>
      </w:pPr>
      <w:r w:rsidRPr="007D3E59">
        <w:rPr>
          <w:rFonts w:ascii="Times New Roman" w:hAnsi="Times New Roman" w:cs="Times New Roman"/>
        </w:rPr>
        <w:t>сделки по приобретению паев иностранных ETF, требующих проведения тестирования</w:t>
      </w:r>
    </w:p>
    <w:p w:rsidR="003621E0" w:rsidRPr="007D3E59" w:rsidRDefault="003621E0" w:rsidP="00256231">
      <w:pPr>
        <w:shd w:val="clear" w:color="auto" w:fill="FFFFFF"/>
        <w:spacing w:before="240" w:after="0" w:line="240" w:lineRule="auto"/>
        <w:jc w:val="both"/>
        <w:rPr>
          <w:rFonts w:ascii="Times New Roman" w:hAnsi="Times New Roman" w:cs="Times New Roman"/>
        </w:rPr>
      </w:pPr>
      <w:r w:rsidRPr="007D3E59">
        <w:rPr>
          <w:rFonts w:ascii="Times New Roman" w:hAnsi="Times New Roman" w:cs="Times New Roman"/>
        </w:rPr>
        <w:t xml:space="preserve">При этом у </w:t>
      </w:r>
      <w:r w:rsidR="00CF2FD7" w:rsidRPr="007D3E59">
        <w:rPr>
          <w:rFonts w:ascii="Times New Roman" w:hAnsi="Times New Roman" w:cs="Times New Roman"/>
        </w:rPr>
        <w:t xml:space="preserve">клиента </w:t>
      </w:r>
      <w:r w:rsidRPr="007D3E59">
        <w:rPr>
          <w:rFonts w:ascii="Times New Roman" w:hAnsi="Times New Roman" w:cs="Times New Roman"/>
        </w:rPr>
        <w:t>сохраняется возможность проведения следующих операций:</w:t>
      </w:r>
    </w:p>
    <w:p w:rsidR="003621E0" w:rsidRPr="007D3E59" w:rsidRDefault="003621E0" w:rsidP="00256231">
      <w:pPr>
        <w:pStyle w:val="aa"/>
        <w:numPr>
          <w:ilvl w:val="0"/>
          <w:numId w:val="9"/>
        </w:numPr>
        <w:autoSpaceDE w:val="0"/>
        <w:autoSpaceDN w:val="0"/>
        <w:adjustRightInd w:val="0"/>
        <w:spacing w:after="0" w:line="240" w:lineRule="auto"/>
        <w:ind w:left="709" w:hanging="425"/>
        <w:jc w:val="both"/>
        <w:rPr>
          <w:rFonts w:ascii="Times New Roman" w:hAnsi="Times New Roman" w:cs="Times New Roman"/>
        </w:rPr>
      </w:pPr>
      <w:r w:rsidRPr="007D3E59">
        <w:rPr>
          <w:rFonts w:ascii="Times New Roman" w:hAnsi="Times New Roman" w:cs="Times New Roman"/>
        </w:rPr>
        <w:t>операций с иностранными бумагами российских компаний и эмитентов из дружественных стран;</w:t>
      </w:r>
    </w:p>
    <w:p w:rsidR="003621E0" w:rsidRPr="007D3E59" w:rsidRDefault="003621E0" w:rsidP="00256231">
      <w:pPr>
        <w:pStyle w:val="aa"/>
        <w:numPr>
          <w:ilvl w:val="0"/>
          <w:numId w:val="9"/>
        </w:numPr>
        <w:autoSpaceDE w:val="0"/>
        <w:autoSpaceDN w:val="0"/>
        <w:adjustRightInd w:val="0"/>
        <w:spacing w:after="0" w:line="240" w:lineRule="auto"/>
        <w:ind w:left="709" w:hanging="425"/>
        <w:jc w:val="both"/>
        <w:rPr>
          <w:rFonts w:ascii="Times New Roman" w:hAnsi="Times New Roman" w:cs="Times New Roman"/>
        </w:rPr>
      </w:pPr>
      <w:r w:rsidRPr="007D3E59">
        <w:rPr>
          <w:rFonts w:ascii="Times New Roman" w:hAnsi="Times New Roman" w:cs="Times New Roman"/>
        </w:rPr>
        <w:t>операций с фондами (</w:t>
      </w:r>
      <w:proofErr w:type="spellStart"/>
      <w:r w:rsidRPr="007D3E59">
        <w:rPr>
          <w:rFonts w:ascii="Times New Roman" w:hAnsi="Times New Roman" w:cs="Times New Roman"/>
        </w:rPr>
        <w:t>ПИФами</w:t>
      </w:r>
      <w:proofErr w:type="spellEnd"/>
      <w:r w:rsidRPr="007D3E59">
        <w:rPr>
          <w:rFonts w:ascii="Times New Roman" w:hAnsi="Times New Roman" w:cs="Times New Roman"/>
        </w:rPr>
        <w:t>), которые имеют в составе активов иностранные ценные бумаги, независимо от их юрисдикции;</w:t>
      </w:r>
    </w:p>
    <w:p w:rsidR="00CF2FD7" w:rsidRPr="007D3E59" w:rsidRDefault="003621E0" w:rsidP="00256231">
      <w:pPr>
        <w:pStyle w:val="aa"/>
        <w:numPr>
          <w:ilvl w:val="0"/>
          <w:numId w:val="9"/>
        </w:numPr>
        <w:autoSpaceDE w:val="0"/>
        <w:autoSpaceDN w:val="0"/>
        <w:adjustRightInd w:val="0"/>
        <w:spacing w:after="0" w:line="240" w:lineRule="auto"/>
        <w:ind w:left="709" w:hanging="425"/>
        <w:jc w:val="both"/>
        <w:rPr>
          <w:rFonts w:ascii="Times New Roman" w:hAnsi="Times New Roman" w:cs="Times New Roman"/>
        </w:rPr>
      </w:pPr>
      <w:r w:rsidRPr="007D3E59">
        <w:rPr>
          <w:rFonts w:ascii="Times New Roman" w:hAnsi="Times New Roman" w:cs="Times New Roman"/>
        </w:rPr>
        <w:t>операций по закрытию уже имеющихся позиций.</w:t>
      </w:r>
    </w:p>
    <w:p w:rsidR="00256231" w:rsidRPr="007D3E59" w:rsidRDefault="00256231" w:rsidP="00256231">
      <w:pPr>
        <w:pStyle w:val="aa"/>
        <w:autoSpaceDE w:val="0"/>
        <w:autoSpaceDN w:val="0"/>
        <w:adjustRightInd w:val="0"/>
        <w:spacing w:after="0" w:line="240" w:lineRule="auto"/>
        <w:ind w:left="709"/>
        <w:jc w:val="both"/>
        <w:rPr>
          <w:rFonts w:ascii="Times New Roman" w:hAnsi="Times New Roman" w:cs="Times New Roman"/>
        </w:rPr>
      </w:pPr>
    </w:p>
    <w:p w:rsidR="00CF18B9" w:rsidRPr="007D3E59" w:rsidRDefault="00F32BE6" w:rsidP="00256231">
      <w:pPr>
        <w:pStyle w:val="aa"/>
        <w:numPr>
          <w:ilvl w:val="0"/>
          <w:numId w:val="6"/>
        </w:numPr>
        <w:autoSpaceDE w:val="0"/>
        <w:autoSpaceDN w:val="0"/>
        <w:adjustRightInd w:val="0"/>
        <w:spacing w:after="0" w:line="240" w:lineRule="auto"/>
        <w:ind w:left="284" w:hanging="284"/>
        <w:jc w:val="both"/>
        <w:rPr>
          <w:rFonts w:ascii="Times New Roman" w:hAnsi="Times New Roman" w:cs="Times New Roman"/>
        </w:rPr>
      </w:pPr>
      <w:r w:rsidRPr="007D3E59">
        <w:rPr>
          <w:rFonts w:ascii="Times New Roman" w:hAnsi="Times New Roman" w:cs="Times New Roman"/>
        </w:rPr>
        <w:t>Денежные средства Клиента, переданные в распоряжение Компании по условиям Регламента, будут учитываться на специальном брокерском счете, открытом Компанией для учета денежных сре</w:t>
      </w:r>
      <w:proofErr w:type="gramStart"/>
      <w:r w:rsidRPr="007D3E59">
        <w:rPr>
          <w:rFonts w:ascii="Times New Roman" w:hAnsi="Times New Roman" w:cs="Times New Roman"/>
        </w:rPr>
        <w:t>дств Кл</w:t>
      </w:r>
      <w:proofErr w:type="gramEnd"/>
      <w:r w:rsidRPr="007D3E59">
        <w:rPr>
          <w:rFonts w:ascii="Times New Roman" w:hAnsi="Times New Roman" w:cs="Times New Roman"/>
        </w:rPr>
        <w:t>иента, вместе со средствами других клиентов Компании. Для учета денежных средств отдельно от денежных сре</w:t>
      </w:r>
      <w:proofErr w:type="gramStart"/>
      <w:r w:rsidRPr="007D3E59">
        <w:rPr>
          <w:rFonts w:ascii="Times New Roman" w:hAnsi="Times New Roman" w:cs="Times New Roman"/>
        </w:rPr>
        <w:t>дств др</w:t>
      </w:r>
      <w:proofErr w:type="gramEnd"/>
      <w:r w:rsidRPr="007D3E59">
        <w:rPr>
          <w:rFonts w:ascii="Times New Roman" w:hAnsi="Times New Roman" w:cs="Times New Roman"/>
        </w:rPr>
        <w:t>угих клиентов Компания может открыть отдельный банковский счет в кредитной организации. В этом случае тарифы на обслуживание на рынке ценных бумаг устанавливаются дополнительным соглашением сторон.</w:t>
      </w:r>
      <w:r w:rsidR="00CF2FD7" w:rsidRPr="007D3E59">
        <w:rPr>
          <w:rFonts w:ascii="Times New Roman" w:hAnsi="Times New Roman" w:cs="Times New Roman"/>
        </w:rPr>
        <w:t xml:space="preserve"> </w:t>
      </w:r>
      <w:r w:rsidRPr="007D3E59">
        <w:rPr>
          <w:rFonts w:ascii="Times New Roman" w:hAnsi="Times New Roman" w:cs="Times New Roman"/>
        </w:rPr>
        <w:t xml:space="preserve"> </w:t>
      </w:r>
      <w:proofErr w:type="gramStart"/>
      <w:r w:rsidRPr="007D3E59">
        <w:rPr>
          <w:rFonts w:ascii="Times New Roman" w:hAnsi="Times New Roman" w:cs="Times New Roman"/>
        </w:rPr>
        <w:t>Компания в праве, но не обязана использовать Активы Клиента, переведенные Клиентом на счета Компании, приобретенные Компанией в ходе заключения от имени Клиента биржевых и внебиржевых сделок,  а также Активы Клиента, поступившие в силу иных оснований (в том числе денежные средства, находящиеся на специальном брокерском счете (счетах)), в своих интересах в порядке и на условиях, предусмотренных Регламентом.</w:t>
      </w:r>
      <w:proofErr w:type="gramEnd"/>
      <w:r w:rsidRPr="007D3E59">
        <w:rPr>
          <w:rFonts w:ascii="Times New Roman" w:hAnsi="Times New Roman" w:cs="Times New Roman"/>
        </w:rPr>
        <w:t xml:space="preserve"> В случае использования Компанией денежных сре</w:t>
      </w:r>
      <w:proofErr w:type="gramStart"/>
      <w:r w:rsidRPr="007D3E59">
        <w:rPr>
          <w:rFonts w:ascii="Times New Roman" w:hAnsi="Times New Roman" w:cs="Times New Roman"/>
        </w:rPr>
        <w:t>дств Кл</w:t>
      </w:r>
      <w:proofErr w:type="gramEnd"/>
      <w:r w:rsidRPr="007D3E59">
        <w:rPr>
          <w:rFonts w:ascii="Times New Roman" w:hAnsi="Times New Roman" w:cs="Times New Roman"/>
        </w:rPr>
        <w:t>иента, в том числе зачисления на собственный счёт, возникают риск просрочки возврата денежных средств и риск просрочки платежа по сделке. При этом Компания гарантирует Клиенту исполнение его поручений за счет указанных Активов или их возврат по требованию клиента</w:t>
      </w:r>
    </w:p>
    <w:p w:rsidR="00F32BE6" w:rsidRPr="007D3E59" w:rsidRDefault="00F32BE6" w:rsidP="000D642F">
      <w:pPr>
        <w:autoSpaceDE w:val="0"/>
        <w:autoSpaceDN w:val="0"/>
        <w:adjustRightInd w:val="0"/>
        <w:spacing w:after="0" w:line="240" w:lineRule="auto"/>
        <w:jc w:val="both"/>
        <w:rPr>
          <w:rFonts w:ascii="Times New Roman" w:hAnsi="Times New Roman" w:cs="Times New Roman"/>
          <w:color w:val="FF0000"/>
        </w:rPr>
      </w:pPr>
    </w:p>
    <w:p w:rsidR="002E77AE" w:rsidRPr="007D3E59" w:rsidRDefault="00256231" w:rsidP="000D642F">
      <w:pPr>
        <w:pStyle w:val="a"/>
        <w:numPr>
          <w:ilvl w:val="0"/>
          <w:numId w:val="0"/>
        </w:numPr>
        <w:ind w:left="360" w:hanging="360"/>
        <w:jc w:val="both"/>
        <w:rPr>
          <w:sz w:val="22"/>
          <w:szCs w:val="22"/>
        </w:rPr>
      </w:pPr>
      <w:r w:rsidRPr="007D3E59">
        <w:rPr>
          <w:color w:val="auto"/>
          <w:sz w:val="22"/>
          <w:szCs w:val="22"/>
        </w:rPr>
        <w:t>9.</w:t>
      </w:r>
      <w:r w:rsidR="002E77AE" w:rsidRPr="007D3E59">
        <w:rPr>
          <w:sz w:val="22"/>
          <w:szCs w:val="22"/>
        </w:rPr>
        <w:t xml:space="preserve"> Направление Клиентом Сообщений (Поручений на сделки)  в Компанию может осуществляться каким-либо из нижеуказанных способов, по выбору Клиента, подтвержденному в Приложении </w:t>
      </w:r>
      <w:r w:rsidR="002E77AE" w:rsidRPr="007D3E59">
        <w:rPr>
          <w:sz w:val="22"/>
          <w:szCs w:val="22"/>
        </w:rPr>
        <w:lastRenderedPageBreak/>
        <w:t>№ 03-1 или 03-2, т.е. акцептом Клиентом способов обмена Сообщениями, что обозначает полное согласие Клиента на все условия и последствия их использования:</w:t>
      </w:r>
    </w:p>
    <w:p w:rsidR="002E77AE" w:rsidRPr="007D3E59" w:rsidRDefault="002E77AE" w:rsidP="000D642F">
      <w:pPr>
        <w:pStyle w:val="a"/>
        <w:jc w:val="both"/>
        <w:rPr>
          <w:sz w:val="22"/>
          <w:szCs w:val="22"/>
        </w:rPr>
      </w:pPr>
      <w:r w:rsidRPr="007D3E59">
        <w:rPr>
          <w:sz w:val="22"/>
          <w:szCs w:val="22"/>
        </w:rPr>
        <w:t xml:space="preserve"> Обмен Сообщениями путем предоставления оригинальных документов на бумажных носителях в офисе Компании;</w:t>
      </w:r>
    </w:p>
    <w:p w:rsidR="002E77AE" w:rsidRPr="007D3E59" w:rsidRDefault="002E77AE" w:rsidP="000D642F">
      <w:pPr>
        <w:pStyle w:val="a"/>
        <w:jc w:val="both"/>
        <w:rPr>
          <w:sz w:val="22"/>
          <w:szCs w:val="22"/>
        </w:rPr>
      </w:pPr>
      <w:r w:rsidRPr="007D3E59">
        <w:rPr>
          <w:sz w:val="22"/>
          <w:szCs w:val="22"/>
        </w:rPr>
        <w:t xml:space="preserve">Обмен Сообщениями почтовой связью; </w:t>
      </w:r>
    </w:p>
    <w:p w:rsidR="002E77AE" w:rsidRPr="007D3E59" w:rsidRDefault="002E77AE" w:rsidP="000D642F">
      <w:pPr>
        <w:pStyle w:val="a"/>
        <w:jc w:val="both"/>
        <w:rPr>
          <w:sz w:val="22"/>
          <w:szCs w:val="22"/>
        </w:rPr>
      </w:pPr>
      <w:r w:rsidRPr="007D3E59">
        <w:rPr>
          <w:sz w:val="22"/>
          <w:szCs w:val="22"/>
        </w:rPr>
        <w:t>Обмен Сообщениями факсимильной связью;</w:t>
      </w:r>
    </w:p>
    <w:p w:rsidR="002E77AE" w:rsidRPr="007D3E59" w:rsidRDefault="002E77AE" w:rsidP="000D642F">
      <w:pPr>
        <w:pStyle w:val="a"/>
        <w:jc w:val="both"/>
        <w:rPr>
          <w:sz w:val="22"/>
          <w:szCs w:val="22"/>
        </w:rPr>
      </w:pPr>
      <w:r w:rsidRPr="007D3E59">
        <w:rPr>
          <w:sz w:val="22"/>
          <w:szCs w:val="22"/>
        </w:rPr>
        <w:t>Обмен устными Сообщениями по телефонной связи.</w:t>
      </w:r>
    </w:p>
    <w:p w:rsidR="002E77AE" w:rsidRPr="007D3E59" w:rsidRDefault="002E77AE" w:rsidP="000D642F">
      <w:pPr>
        <w:pStyle w:val="a"/>
        <w:jc w:val="both"/>
        <w:rPr>
          <w:sz w:val="22"/>
          <w:szCs w:val="22"/>
        </w:rPr>
      </w:pPr>
      <w:r w:rsidRPr="007D3E59">
        <w:rPr>
          <w:sz w:val="22"/>
          <w:szCs w:val="22"/>
        </w:rPr>
        <w:t>Обмен электронными документами с использованием электронной цифровой подписи (ЭЦП) в системе электронного документооборота;</w:t>
      </w:r>
    </w:p>
    <w:p w:rsidR="002E77AE" w:rsidRPr="007D3E59" w:rsidRDefault="002E77AE" w:rsidP="000D642F">
      <w:pPr>
        <w:pStyle w:val="a"/>
        <w:jc w:val="both"/>
        <w:rPr>
          <w:sz w:val="22"/>
          <w:szCs w:val="22"/>
        </w:rPr>
      </w:pPr>
      <w:r w:rsidRPr="007D3E59">
        <w:rPr>
          <w:sz w:val="22"/>
          <w:szCs w:val="22"/>
        </w:rPr>
        <w:t>Обмен электронными Сообщениями по нешифрованной электронной почте, указанной в Анкете Клиента   (Приложения № 04-1, 04-2,04-4)</w:t>
      </w:r>
    </w:p>
    <w:p w:rsidR="00F32BE6" w:rsidRPr="007D3E59" w:rsidRDefault="00F32BE6" w:rsidP="000D642F">
      <w:pPr>
        <w:autoSpaceDE w:val="0"/>
        <w:autoSpaceDN w:val="0"/>
        <w:adjustRightInd w:val="0"/>
        <w:spacing w:after="0" w:line="240" w:lineRule="auto"/>
        <w:jc w:val="both"/>
        <w:rPr>
          <w:rFonts w:ascii="Times New Roman" w:hAnsi="Times New Roman" w:cs="Times New Roman"/>
          <w:color w:val="FF0000"/>
        </w:rPr>
      </w:pPr>
    </w:p>
    <w:p w:rsidR="00F32BE6" w:rsidRPr="00253F54" w:rsidRDefault="00256231" w:rsidP="00253F54">
      <w:pPr>
        <w:autoSpaceDE w:val="0"/>
        <w:autoSpaceDN w:val="0"/>
        <w:adjustRightInd w:val="0"/>
        <w:spacing w:after="0" w:line="240" w:lineRule="auto"/>
        <w:jc w:val="both"/>
        <w:rPr>
          <w:rFonts w:ascii="Times New Roman" w:hAnsi="Times New Roman" w:cs="Times New Roman"/>
        </w:rPr>
      </w:pPr>
      <w:r w:rsidRPr="00253F54">
        <w:rPr>
          <w:rFonts w:ascii="Times New Roman" w:hAnsi="Times New Roman" w:cs="Times New Roman"/>
        </w:rPr>
        <w:t>10</w:t>
      </w:r>
      <w:r w:rsidR="002E77AE" w:rsidRPr="00253F54">
        <w:rPr>
          <w:rFonts w:ascii="Times New Roman" w:hAnsi="Times New Roman" w:cs="Times New Roman"/>
        </w:rPr>
        <w:t xml:space="preserve">. С Тарифами на брокерское обслуживание можно ознакомиться в </w:t>
      </w:r>
      <w:proofErr w:type="spellStart"/>
      <w:r w:rsidR="002E77AE" w:rsidRPr="00253F54">
        <w:rPr>
          <w:rFonts w:ascii="Times New Roman" w:hAnsi="Times New Roman" w:cs="Times New Roman"/>
        </w:rPr>
        <w:t>Приоложении</w:t>
      </w:r>
      <w:proofErr w:type="spellEnd"/>
      <w:r w:rsidR="002E77AE" w:rsidRPr="00253F54">
        <w:rPr>
          <w:rFonts w:ascii="Times New Roman" w:hAnsi="Times New Roman" w:cs="Times New Roman"/>
        </w:rPr>
        <w:t xml:space="preserve"> № 7 Регламента или на сайте Компании </w:t>
      </w:r>
      <w:hyperlink r:id="rId10" w:history="1">
        <w:r w:rsidR="009E14EF" w:rsidRPr="00253F54">
          <w:rPr>
            <w:rStyle w:val="ab"/>
            <w:rFonts w:ascii="Times New Roman" w:hAnsi="Times New Roman" w:cs="Times New Roman"/>
            <w:lang w:val="en-US"/>
          </w:rPr>
          <w:t>http</w:t>
        </w:r>
        <w:r w:rsidR="009E14EF" w:rsidRPr="00253F54">
          <w:rPr>
            <w:rStyle w:val="ab"/>
            <w:rFonts w:ascii="Times New Roman" w:hAnsi="Times New Roman" w:cs="Times New Roman"/>
          </w:rPr>
          <w:t>://</w:t>
        </w:r>
        <w:r w:rsidR="009E14EF" w:rsidRPr="00253F54">
          <w:rPr>
            <w:rStyle w:val="ab"/>
            <w:rFonts w:ascii="Times New Roman" w:hAnsi="Times New Roman" w:cs="Times New Roman"/>
            <w:lang w:val="en-US"/>
          </w:rPr>
          <w:t>www</w:t>
        </w:r>
        <w:r w:rsidR="009E14EF" w:rsidRPr="00253F54">
          <w:rPr>
            <w:rStyle w:val="ab"/>
            <w:rFonts w:ascii="Times New Roman" w:hAnsi="Times New Roman" w:cs="Times New Roman"/>
          </w:rPr>
          <w:t>.</w:t>
        </w:r>
        <w:proofErr w:type="spellStart"/>
        <w:r w:rsidR="009E14EF" w:rsidRPr="00253F54">
          <w:rPr>
            <w:rStyle w:val="ab"/>
            <w:rFonts w:ascii="Times New Roman" w:hAnsi="Times New Roman" w:cs="Times New Roman"/>
            <w:lang w:val="en-US"/>
          </w:rPr>
          <w:t>arsinvest</w:t>
        </w:r>
        <w:proofErr w:type="spellEnd"/>
        <w:r w:rsidR="009E14EF" w:rsidRPr="00253F54">
          <w:rPr>
            <w:rStyle w:val="ab"/>
            <w:rFonts w:ascii="Times New Roman" w:hAnsi="Times New Roman" w:cs="Times New Roman"/>
          </w:rPr>
          <w:t>.</w:t>
        </w:r>
        <w:proofErr w:type="spellStart"/>
        <w:r w:rsidR="009E14EF" w:rsidRPr="00253F54">
          <w:rPr>
            <w:rStyle w:val="ab"/>
            <w:rFonts w:ascii="Times New Roman" w:hAnsi="Times New Roman" w:cs="Times New Roman"/>
            <w:lang w:val="en-US"/>
          </w:rPr>
          <w:t>ru</w:t>
        </w:r>
        <w:proofErr w:type="spellEnd"/>
      </w:hyperlink>
      <w:r w:rsidR="009E14EF" w:rsidRPr="00253F54">
        <w:rPr>
          <w:rFonts w:ascii="Times New Roman" w:hAnsi="Times New Roman" w:cs="Times New Roman"/>
          <w:color w:val="0D0D0D"/>
        </w:rPr>
        <w:t xml:space="preserve"> </w:t>
      </w:r>
      <w:r w:rsidRPr="00253F54">
        <w:rPr>
          <w:rFonts w:ascii="Times New Roman" w:hAnsi="Times New Roman" w:cs="Times New Roman"/>
          <w:color w:val="31849B" w:themeColor="accent5" w:themeShade="BF"/>
        </w:rPr>
        <w:t xml:space="preserve"> </w:t>
      </w:r>
      <w:r w:rsidRPr="00253F54">
        <w:rPr>
          <w:rFonts w:ascii="Times New Roman" w:hAnsi="Times New Roman" w:cs="Times New Roman"/>
        </w:rPr>
        <w:t>в разделе «Брокерское обслуживание».</w:t>
      </w:r>
    </w:p>
    <w:p w:rsidR="00F32BE6" w:rsidRPr="007D3E59" w:rsidRDefault="00F32BE6" w:rsidP="000D642F">
      <w:pPr>
        <w:autoSpaceDE w:val="0"/>
        <w:autoSpaceDN w:val="0"/>
        <w:adjustRightInd w:val="0"/>
        <w:spacing w:after="0" w:line="240" w:lineRule="auto"/>
        <w:jc w:val="both"/>
        <w:rPr>
          <w:rFonts w:ascii="Times New Roman" w:hAnsi="Times New Roman" w:cs="Times New Roman"/>
          <w:color w:val="FF0000"/>
        </w:rPr>
      </w:pPr>
    </w:p>
    <w:p w:rsidR="00F32BE6" w:rsidRPr="00253F54" w:rsidRDefault="00256231" w:rsidP="00253F54">
      <w:pPr>
        <w:autoSpaceDE w:val="0"/>
        <w:autoSpaceDN w:val="0"/>
        <w:adjustRightInd w:val="0"/>
        <w:spacing w:after="0" w:line="240" w:lineRule="auto"/>
        <w:jc w:val="both"/>
        <w:rPr>
          <w:rFonts w:ascii="Times New Roman" w:eastAsia="Times New Roman" w:hAnsi="Times New Roman" w:cs="Times New Roman"/>
          <w:lang w:eastAsia="ru-RU"/>
        </w:rPr>
      </w:pPr>
      <w:r w:rsidRPr="00253F54">
        <w:rPr>
          <w:rFonts w:ascii="Times New Roman" w:eastAsia="Times New Roman" w:hAnsi="Times New Roman" w:cs="Times New Roman"/>
          <w:lang w:eastAsia="ru-RU"/>
        </w:rPr>
        <w:t xml:space="preserve">11. </w:t>
      </w:r>
      <w:r w:rsidR="00212DBD" w:rsidRPr="00253F54">
        <w:rPr>
          <w:rFonts w:ascii="Times New Roman" w:eastAsia="Times New Roman" w:hAnsi="Times New Roman" w:cs="Times New Roman"/>
          <w:lang w:eastAsia="ru-RU"/>
        </w:rPr>
        <w:t>О</w:t>
      </w:r>
      <w:r w:rsidR="002E77AE" w:rsidRPr="00253F54">
        <w:rPr>
          <w:rFonts w:ascii="Times New Roman" w:eastAsia="Times New Roman" w:hAnsi="Times New Roman" w:cs="Times New Roman"/>
          <w:lang w:eastAsia="ru-RU"/>
        </w:rPr>
        <w:t>существление операций на рынке ценных бумаг</w:t>
      </w:r>
      <w:r w:rsidR="00212DBD" w:rsidRPr="00253F54">
        <w:rPr>
          <w:rFonts w:ascii="Times New Roman" w:eastAsia="Times New Roman" w:hAnsi="Times New Roman" w:cs="Times New Roman"/>
          <w:lang w:eastAsia="ru-RU"/>
        </w:rPr>
        <w:t xml:space="preserve"> связанно с повышенными рисками</w:t>
      </w:r>
      <w:r w:rsidR="002E77AE" w:rsidRPr="00253F54">
        <w:rPr>
          <w:rFonts w:ascii="Times New Roman" w:eastAsia="Times New Roman" w:hAnsi="Times New Roman" w:cs="Times New Roman"/>
          <w:lang w:eastAsia="ru-RU"/>
        </w:rPr>
        <w:t xml:space="preserve">. Информация по управлению рисками раскрывается на  сайте Компании </w:t>
      </w:r>
      <w:hyperlink r:id="rId11" w:history="1">
        <w:r w:rsidR="009E14EF" w:rsidRPr="00253F54">
          <w:rPr>
            <w:rStyle w:val="ab"/>
            <w:rFonts w:ascii="Times New Roman" w:hAnsi="Times New Roman" w:cs="Times New Roman"/>
            <w:lang w:val="en-US"/>
          </w:rPr>
          <w:t>http</w:t>
        </w:r>
        <w:r w:rsidR="009E14EF" w:rsidRPr="00253F54">
          <w:rPr>
            <w:rStyle w:val="ab"/>
            <w:rFonts w:ascii="Times New Roman" w:hAnsi="Times New Roman" w:cs="Times New Roman"/>
          </w:rPr>
          <w:t>://</w:t>
        </w:r>
        <w:r w:rsidR="009E14EF" w:rsidRPr="00253F54">
          <w:rPr>
            <w:rStyle w:val="ab"/>
            <w:rFonts w:ascii="Times New Roman" w:hAnsi="Times New Roman" w:cs="Times New Roman"/>
            <w:lang w:val="en-US"/>
          </w:rPr>
          <w:t>www</w:t>
        </w:r>
        <w:r w:rsidR="009E14EF" w:rsidRPr="00253F54">
          <w:rPr>
            <w:rStyle w:val="ab"/>
            <w:rFonts w:ascii="Times New Roman" w:hAnsi="Times New Roman" w:cs="Times New Roman"/>
          </w:rPr>
          <w:t>.</w:t>
        </w:r>
        <w:proofErr w:type="spellStart"/>
        <w:r w:rsidR="009E14EF" w:rsidRPr="00253F54">
          <w:rPr>
            <w:rStyle w:val="ab"/>
            <w:rFonts w:ascii="Times New Roman" w:hAnsi="Times New Roman" w:cs="Times New Roman"/>
            <w:lang w:val="en-US"/>
          </w:rPr>
          <w:t>arsinvest</w:t>
        </w:r>
        <w:proofErr w:type="spellEnd"/>
        <w:r w:rsidR="009E14EF" w:rsidRPr="00253F54">
          <w:rPr>
            <w:rStyle w:val="ab"/>
            <w:rFonts w:ascii="Times New Roman" w:hAnsi="Times New Roman" w:cs="Times New Roman"/>
          </w:rPr>
          <w:t>.</w:t>
        </w:r>
        <w:proofErr w:type="spellStart"/>
        <w:r w:rsidR="009E14EF" w:rsidRPr="00253F54">
          <w:rPr>
            <w:rStyle w:val="ab"/>
            <w:rFonts w:ascii="Times New Roman" w:hAnsi="Times New Roman" w:cs="Times New Roman"/>
            <w:lang w:val="en-US"/>
          </w:rPr>
          <w:t>ru</w:t>
        </w:r>
        <w:proofErr w:type="spellEnd"/>
      </w:hyperlink>
      <w:r w:rsidR="009E14EF" w:rsidRPr="00253F54">
        <w:rPr>
          <w:rFonts w:ascii="Times New Roman" w:hAnsi="Times New Roman" w:cs="Times New Roman"/>
          <w:color w:val="0D0D0D"/>
        </w:rPr>
        <w:t xml:space="preserve"> </w:t>
      </w:r>
      <w:r w:rsidRPr="00253F54">
        <w:rPr>
          <w:rFonts w:ascii="Times New Roman" w:eastAsia="Times New Roman" w:hAnsi="Times New Roman" w:cs="Times New Roman"/>
          <w:lang w:eastAsia="ru-RU"/>
        </w:rPr>
        <w:t xml:space="preserve"> в разделе «Брокерское обслуживание»</w:t>
      </w:r>
      <w:r w:rsidR="002E77AE" w:rsidRPr="00253F54">
        <w:rPr>
          <w:rFonts w:ascii="Times New Roman" w:eastAsia="Times New Roman" w:hAnsi="Times New Roman" w:cs="Times New Roman"/>
          <w:lang w:eastAsia="ru-RU"/>
        </w:rPr>
        <w:t>.</w:t>
      </w:r>
      <w:r w:rsidRPr="00253F54">
        <w:rPr>
          <w:rFonts w:ascii="Times New Roman" w:eastAsia="Times New Roman" w:hAnsi="Times New Roman" w:cs="Times New Roman"/>
          <w:lang w:eastAsia="ru-RU"/>
        </w:rPr>
        <w:t xml:space="preserve"> Р</w:t>
      </w:r>
      <w:r w:rsidR="002E77AE" w:rsidRPr="00253F54">
        <w:rPr>
          <w:rFonts w:ascii="Times New Roman" w:eastAsia="Times New Roman" w:hAnsi="Times New Roman" w:cs="Times New Roman"/>
          <w:lang w:eastAsia="ru-RU"/>
        </w:rPr>
        <w:t>иск представляет собой возможность возникновения убытков при осуществлении финансовых операций в связи с возможным неблагоприятным влиянием разного рода факторов.</w:t>
      </w:r>
      <w:r w:rsidR="00212DBD" w:rsidRPr="00253F54">
        <w:rPr>
          <w:rFonts w:ascii="Times New Roman" w:eastAsia="Times New Roman" w:hAnsi="Times New Roman" w:cs="Times New Roman"/>
          <w:lang w:eastAsia="ru-RU"/>
        </w:rPr>
        <w:t xml:space="preserve"> Рекомендуем внимательно изучить декларации о рисках (Приложения № 9,9-1,9-2,9-3) и только после этого принимать решения о совершении сделок.</w:t>
      </w:r>
    </w:p>
    <w:p w:rsidR="00CF18B9" w:rsidRPr="007D3E59" w:rsidRDefault="00256231" w:rsidP="000D642F">
      <w:pPr>
        <w:autoSpaceDE w:val="0"/>
        <w:autoSpaceDN w:val="0"/>
        <w:adjustRightInd w:val="0"/>
        <w:spacing w:after="0" w:line="240" w:lineRule="auto"/>
        <w:jc w:val="both"/>
        <w:rPr>
          <w:rFonts w:ascii="Times New Roman" w:hAnsi="Times New Roman" w:cs="Times New Roman"/>
        </w:rPr>
      </w:pPr>
      <w:r w:rsidRPr="007D3E59">
        <w:rPr>
          <w:rFonts w:ascii="Times New Roman" w:hAnsi="Times New Roman" w:cs="Times New Roman"/>
        </w:rPr>
        <w:t>12</w:t>
      </w:r>
      <w:r w:rsidR="00266B54" w:rsidRPr="007D3E59">
        <w:rPr>
          <w:rFonts w:ascii="Times New Roman" w:hAnsi="Times New Roman" w:cs="Times New Roman"/>
        </w:rPr>
        <w:t xml:space="preserve">. </w:t>
      </w:r>
      <w:r w:rsidRPr="007D3E59">
        <w:rPr>
          <w:rFonts w:ascii="Times New Roman" w:hAnsi="Times New Roman" w:cs="Times New Roman"/>
        </w:rPr>
        <w:t xml:space="preserve">Компания представляет отчетность Клиенту в ясной и доступной форме. Отчет содержит достаточную информацию о виде и стоимости оказанных услуг, совершенных сделках и операциях, открытых позициях и обязательствах клиента. </w:t>
      </w:r>
      <w:r w:rsidR="00826DE6" w:rsidRPr="007D3E59">
        <w:rPr>
          <w:rFonts w:ascii="Times New Roman" w:hAnsi="Times New Roman" w:cs="Times New Roman"/>
        </w:rPr>
        <w:t>Отчеты предоставляются Клиенту</w:t>
      </w:r>
      <w:r w:rsidR="004867EB" w:rsidRPr="007D3E59">
        <w:rPr>
          <w:rFonts w:ascii="Times New Roman" w:hAnsi="Times New Roman" w:cs="Times New Roman"/>
        </w:rPr>
        <w:t xml:space="preserve"> в бумажной форме, а также путем рассылки, в соответствии с реквизитами, представленными Клиентом Компании, средствами электронной доставки, включая факс, электронную почту и иными способами, осуществляется в соответствии с поданным Клиентом в Компанию письменным заявлением. Компания вправе в одностороннем порядке принять решение о предоставлении отчетов Клиенту только на бумажном носителе</w:t>
      </w:r>
      <w:r w:rsidR="00826DE6" w:rsidRPr="007D3E59">
        <w:rPr>
          <w:rFonts w:ascii="Times New Roman" w:hAnsi="Times New Roman" w:cs="Times New Roman"/>
        </w:rPr>
        <w:t>.</w:t>
      </w:r>
    </w:p>
    <w:p w:rsidR="00CF18B9" w:rsidRPr="007D3E59" w:rsidRDefault="00256231" w:rsidP="000D642F">
      <w:pPr>
        <w:autoSpaceDE w:val="0"/>
        <w:autoSpaceDN w:val="0"/>
        <w:adjustRightInd w:val="0"/>
        <w:spacing w:after="0" w:line="240" w:lineRule="auto"/>
        <w:jc w:val="both"/>
        <w:rPr>
          <w:rFonts w:ascii="Times New Roman" w:hAnsi="Times New Roman" w:cs="Times New Roman"/>
          <w:color w:val="FF0000"/>
        </w:rPr>
      </w:pPr>
      <w:r w:rsidRPr="007D3E59">
        <w:rPr>
          <w:rFonts w:ascii="Times New Roman" w:hAnsi="Times New Roman" w:cs="Times New Roman"/>
        </w:rPr>
        <w:t>13</w:t>
      </w:r>
      <w:r w:rsidR="00266B54" w:rsidRPr="007D3E59">
        <w:rPr>
          <w:rFonts w:ascii="Times New Roman" w:hAnsi="Times New Roman" w:cs="Times New Roman"/>
        </w:rPr>
        <w:t>.</w:t>
      </w:r>
      <w:r w:rsidR="003621E0" w:rsidRPr="007D3E59">
        <w:rPr>
          <w:rFonts w:ascii="Times New Roman" w:hAnsi="Times New Roman" w:cs="Times New Roman"/>
        </w:rPr>
        <w:t xml:space="preserve"> Компания или иная сторона, присоединившаяся к настоящему Регламенту, освобождаются от ответственности за частичное или полное неисполнение обязательств, предусмотренных Регламентом, если оно явилось следствием обстоятельств непреодолимой силы, возникших после присоединения к настоящему Регламенту, в результате событий чрезвычайного характера, которые они не могли ни предвидеть, ни предотвратить разумными мерами. К таким обстоятельствам будут относиться военные действия, стихийные бедствия, пожары, массовые беспорядки или забастовки, решения органов государственной и местной власти и управления, террористические акты и иные подобные события, делающие невозможным исполнение обязательств, предусмотренных Регламентом</w:t>
      </w:r>
    </w:p>
    <w:p w:rsidR="003621E0" w:rsidRPr="007D3E59" w:rsidRDefault="003621E0" w:rsidP="000D642F">
      <w:pPr>
        <w:autoSpaceDE w:val="0"/>
        <w:autoSpaceDN w:val="0"/>
        <w:adjustRightInd w:val="0"/>
        <w:spacing w:after="0" w:line="240" w:lineRule="auto"/>
        <w:jc w:val="both"/>
        <w:rPr>
          <w:rFonts w:ascii="Times New Roman" w:hAnsi="Times New Roman" w:cs="Times New Roman"/>
          <w:color w:val="FF0000"/>
        </w:rPr>
      </w:pPr>
    </w:p>
    <w:p w:rsidR="003621E0" w:rsidRPr="007D3E59" w:rsidRDefault="00266B54" w:rsidP="000D642F">
      <w:pPr>
        <w:shd w:val="clear" w:color="auto" w:fill="FFFFFF"/>
        <w:spacing w:after="0" w:line="240" w:lineRule="auto"/>
        <w:jc w:val="both"/>
        <w:rPr>
          <w:rFonts w:ascii="Times New Roman" w:hAnsi="Times New Roman" w:cs="Times New Roman"/>
        </w:rPr>
      </w:pPr>
      <w:r w:rsidRPr="007D3E59">
        <w:rPr>
          <w:rFonts w:ascii="Times New Roman" w:hAnsi="Times New Roman" w:cs="Times New Roman"/>
        </w:rPr>
        <w:t>1</w:t>
      </w:r>
      <w:r w:rsidR="00826DE6" w:rsidRPr="007D3E59">
        <w:rPr>
          <w:rFonts w:ascii="Times New Roman" w:hAnsi="Times New Roman" w:cs="Times New Roman"/>
        </w:rPr>
        <w:t>4</w:t>
      </w:r>
      <w:r w:rsidRPr="007D3E59">
        <w:rPr>
          <w:rFonts w:ascii="Times New Roman" w:hAnsi="Times New Roman" w:cs="Times New Roman"/>
        </w:rPr>
        <w:t xml:space="preserve">. Компания </w:t>
      </w:r>
      <w:r w:rsidR="003621E0" w:rsidRPr="007D3E59">
        <w:rPr>
          <w:rFonts w:ascii="Times New Roman" w:hAnsi="Times New Roman" w:cs="Times New Roman"/>
        </w:rPr>
        <w:t>выступает налоговым агентом по сделкам купли-продажи на фондовых площадках (</w:t>
      </w:r>
      <w:proofErr w:type="spellStart"/>
      <w:r w:rsidR="003621E0" w:rsidRPr="007D3E59">
        <w:rPr>
          <w:rFonts w:ascii="Times New Roman" w:hAnsi="Times New Roman" w:cs="Times New Roman"/>
        </w:rPr>
        <w:t>Мосбиржа</w:t>
      </w:r>
      <w:bookmarkStart w:id="1" w:name="_GoBack"/>
      <w:bookmarkEnd w:id="1"/>
      <w:proofErr w:type="spellEnd"/>
      <w:r w:rsidR="003621E0" w:rsidRPr="007D3E59">
        <w:rPr>
          <w:rFonts w:ascii="Times New Roman" w:hAnsi="Times New Roman" w:cs="Times New Roman"/>
        </w:rPr>
        <w:t xml:space="preserve">) и Срочном рынке </w:t>
      </w:r>
      <w:proofErr w:type="spellStart"/>
      <w:r w:rsidR="003621E0" w:rsidRPr="007D3E59">
        <w:rPr>
          <w:rFonts w:ascii="Times New Roman" w:hAnsi="Times New Roman" w:cs="Times New Roman"/>
        </w:rPr>
        <w:t>Мосбиржи</w:t>
      </w:r>
      <w:proofErr w:type="spellEnd"/>
      <w:r w:rsidR="003621E0" w:rsidRPr="007D3E59">
        <w:rPr>
          <w:rFonts w:ascii="Times New Roman" w:hAnsi="Times New Roman" w:cs="Times New Roman"/>
        </w:rPr>
        <w:t xml:space="preserve">, а также по купонам и дивидендам с российских ценных бумаг. По этим доходам </w:t>
      </w:r>
      <w:r w:rsidRPr="007D3E59">
        <w:rPr>
          <w:rFonts w:ascii="Times New Roman" w:hAnsi="Times New Roman" w:cs="Times New Roman"/>
        </w:rPr>
        <w:t>Клиенту</w:t>
      </w:r>
      <w:r w:rsidR="003621E0" w:rsidRPr="007D3E59">
        <w:rPr>
          <w:rFonts w:ascii="Times New Roman" w:hAnsi="Times New Roman" w:cs="Times New Roman"/>
        </w:rPr>
        <w:t xml:space="preserve"> отчитываться не нужно.</w:t>
      </w:r>
      <w:r w:rsidRPr="007D3E59">
        <w:rPr>
          <w:rFonts w:ascii="Times New Roman" w:hAnsi="Times New Roman" w:cs="Times New Roman"/>
        </w:rPr>
        <w:t xml:space="preserve"> </w:t>
      </w:r>
      <w:r w:rsidR="003621E0" w:rsidRPr="007D3E59">
        <w:rPr>
          <w:rFonts w:ascii="Times New Roman" w:hAnsi="Times New Roman" w:cs="Times New Roman"/>
        </w:rPr>
        <w:t xml:space="preserve">По сделкам на Валютном рынке </w:t>
      </w:r>
      <w:proofErr w:type="spellStart"/>
      <w:r w:rsidR="003621E0" w:rsidRPr="007D3E59">
        <w:rPr>
          <w:rFonts w:ascii="Times New Roman" w:hAnsi="Times New Roman" w:cs="Times New Roman"/>
        </w:rPr>
        <w:t>Мосбиржи</w:t>
      </w:r>
      <w:proofErr w:type="spellEnd"/>
      <w:r w:rsidR="003621E0" w:rsidRPr="007D3E59">
        <w:rPr>
          <w:rFonts w:ascii="Times New Roman" w:hAnsi="Times New Roman" w:cs="Times New Roman"/>
        </w:rPr>
        <w:t xml:space="preserve">, а также по купонам и дивидендам с иностранных ценных бумаг </w:t>
      </w:r>
      <w:r w:rsidRPr="007D3E59">
        <w:rPr>
          <w:rFonts w:ascii="Times New Roman" w:hAnsi="Times New Roman" w:cs="Times New Roman"/>
        </w:rPr>
        <w:t>Клиент</w:t>
      </w:r>
      <w:r w:rsidR="003621E0" w:rsidRPr="007D3E59">
        <w:rPr>
          <w:rFonts w:ascii="Times New Roman" w:hAnsi="Times New Roman" w:cs="Times New Roman"/>
        </w:rPr>
        <w:t xml:space="preserve"> </w:t>
      </w:r>
      <w:r w:rsidRPr="007D3E59">
        <w:rPr>
          <w:rFonts w:ascii="Times New Roman" w:hAnsi="Times New Roman" w:cs="Times New Roman"/>
        </w:rPr>
        <w:t>должен</w:t>
      </w:r>
      <w:r w:rsidR="003621E0" w:rsidRPr="007D3E59">
        <w:rPr>
          <w:rFonts w:ascii="Times New Roman" w:hAnsi="Times New Roman" w:cs="Times New Roman"/>
        </w:rPr>
        <w:t xml:space="preserve"> самостоятельно отчитаться</w:t>
      </w:r>
      <w:r w:rsidRPr="007D3E59">
        <w:rPr>
          <w:rFonts w:ascii="Times New Roman" w:hAnsi="Times New Roman" w:cs="Times New Roman"/>
        </w:rPr>
        <w:t xml:space="preserve"> в налоговую инспекцию, указав доходы в Декларации 3-НДФЛ</w:t>
      </w:r>
      <w:r w:rsidR="003621E0" w:rsidRPr="007D3E59">
        <w:rPr>
          <w:rFonts w:ascii="Times New Roman" w:hAnsi="Times New Roman" w:cs="Times New Roman"/>
        </w:rPr>
        <w:t xml:space="preserve"> и уплатить налог.</w:t>
      </w:r>
    </w:p>
    <w:p w:rsidR="003621E0" w:rsidRPr="007D3E59" w:rsidRDefault="003621E0" w:rsidP="000D642F">
      <w:pPr>
        <w:pStyle w:val="a8"/>
        <w:shd w:val="clear" w:color="auto" w:fill="FFFFFF"/>
        <w:spacing w:before="0" w:beforeAutospacing="0" w:after="0" w:afterAutospacing="0"/>
        <w:jc w:val="both"/>
        <w:rPr>
          <w:rFonts w:eastAsiaTheme="minorHAnsi"/>
          <w:sz w:val="22"/>
          <w:szCs w:val="22"/>
          <w:lang w:eastAsia="en-US"/>
        </w:rPr>
      </w:pPr>
    </w:p>
    <w:p w:rsidR="000D683D" w:rsidRPr="00BE4541" w:rsidRDefault="000D683D" w:rsidP="000D683D">
      <w:pPr>
        <w:pStyle w:val="ac"/>
        <w:ind w:left="0" w:right="-2" w:firstLine="567"/>
        <w:rPr>
          <w:b w:val="0"/>
          <w:sz w:val="20"/>
        </w:rPr>
      </w:pPr>
    </w:p>
    <w:p w:rsidR="000D683D" w:rsidRPr="00BE4541" w:rsidRDefault="000D683D" w:rsidP="000D683D">
      <w:pPr>
        <w:pStyle w:val="ae"/>
        <w:ind w:firstLine="720"/>
        <w:jc w:val="both"/>
      </w:pPr>
      <w:r w:rsidRPr="00BE4541">
        <w:t xml:space="preserve">_________________________  </w:t>
      </w:r>
      <w:r w:rsidRPr="00BE4541">
        <w:tab/>
      </w:r>
      <w:r w:rsidRPr="00BE4541">
        <w:tab/>
        <w:t xml:space="preserve">________________________________________________ </w:t>
      </w:r>
      <w:r w:rsidRPr="00BE4541">
        <w:tab/>
      </w:r>
    </w:p>
    <w:p w:rsidR="000D683D" w:rsidRPr="00BE4541" w:rsidRDefault="000D683D" w:rsidP="000D683D">
      <w:pPr>
        <w:pStyle w:val="ae"/>
        <w:ind w:left="720" w:firstLine="720"/>
        <w:jc w:val="both"/>
      </w:pPr>
      <w:r w:rsidRPr="00BE4541">
        <w:t>(подпись)</w:t>
      </w:r>
      <w:r w:rsidRPr="00BE4541">
        <w:tab/>
      </w:r>
      <w:r w:rsidRPr="00BE4541">
        <w:tab/>
      </w:r>
      <w:r w:rsidRPr="00BE4541">
        <w:tab/>
      </w:r>
      <w:r w:rsidRPr="00BE4541">
        <w:tab/>
      </w:r>
      <w:r w:rsidRPr="00BE4541">
        <w:tab/>
        <w:t xml:space="preserve"> (Ф.И.О. полностью)</w:t>
      </w:r>
      <w:r w:rsidRPr="00BE4541">
        <w:tab/>
      </w:r>
    </w:p>
    <w:p w:rsidR="000D683D" w:rsidRPr="00BE4541" w:rsidRDefault="000D683D" w:rsidP="000D683D">
      <w:pPr>
        <w:pStyle w:val="ae"/>
        <w:ind w:firstLine="708"/>
        <w:jc w:val="both"/>
      </w:pPr>
      <w:r w:rsidRPr="00BE4541">
        <w:tab/>
      </w:r>
      <w:r w:rsidRPr="00BE4541">
        <w:tab/>
      </w:r>
      <w:r w:rsidRPr="00BE4541">
        <w:tab/>
      </w:r>
      <w:r w:rsidRPr="00BE4541">
        <w:tab/>
      </w:r>
      <w:r w:rsidRPr="00BE4541">
        <w:tab/>
        <w:t xml:space="preserve">  </w:t>
      </w:r>
      <w:r w:rsidRPr="00BE4541">
        <w:tab/>
      </w:r>
    </w:p>
    <w:p w:rsidR="000D683D" w:rsidRPr="00F046D2" w:rsidRDefault="000D683D" w:rsidP="000D683D">
      <w:pPr>
        <w:pStyle w:val="ae"/>
        <w:jc w:val="both"/>
      </w:pPr>
      <w:r w:rsidRPr="00BE4541">
        <w:rPr>
          <w:b/>
        </w:rPr>
        <w:t xml:space="preserve">«___»_______________20__г. </w:t>
      </w:r>
    </w:p>
    <w:p w:rsidR="003621E0" w:rsidRPr="007D3E59" w:rsidRDefault="003621E0" w:rsidP="004867EB">
      <w:pPr>
        <w:pStyle w:val="a8"/>
        <w:shd w:val="clear" w:color="auto" w:fill="FFFFFF"/>
        <w:spacing w:before="0" w:beforeAutospacing="0" w:after="0" w:afterAutospacing="0"/>
        <w:rPr>
          <w:color w:val="FF0000"/>
          <w:sz w:val="22"/>
          <w:szCs w:val="22"/>
        </w:rPr>
      </w:pPr>
    </w:p>
    <w:sectPr w:rsidR="003621E0" w:rsidRPr="007D3E59">
      <w:headerReference w:type="defaul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2042" w:rsidRDefault="00E02042" w:rsidP="00CF18B9">
      <w:pPr>
        <w:spacing w:after="0" w:line="240" w:lineRule="auto"/>
      </w:pPr>
      <w:r>
        <w:separator/>
      </w:r>
    </w:p>
  </w:endnote>
  <w:endnote w:type="continuationSeparator" w:id="0">
    <w:p w:rsidR="00E02042" w:rsidRDefault="00E02042" w:rsidP="00CF1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alibri">
    <w:altName w:val="Century Gothic"/>
    <w:panose1 w:val="020F0502020204030204"/>
    <w:charset w:val="CC"/>
    <w:family w:val="swiss"/>
    <w:pitch w:val="variable"/>
    <w:sig w:usb0="E00002FF" w:usb1="4000ACFF" w:usb2="00000001" w:usb3="00000000" w:csb0="0000019F" w:csb1="00000000"/>
  </w:font>
  <w:font w:name="Courier New">
    <w:altName w:val="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2042" w:rsidRDefault="00E02042" w:rsidP="00CF18B9">
      <w:pPr>
        <w:spacing w:after="0" w:line="240" w:lineRule="auto"/>
      </w:pPr>
      <w:r>
        <w:separator/>
      </w:r>
    </w:p>
  </w:footnote>
  <w:footnote w:type="continuationSeparator" w:id="0">
    <w:p w:rsidR="00E02042" w:rsidRDefault="00E02042" w:rsidP="00CF18B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8B9" w:rsidRDefault="00CF18B9" w:rsidP="00CF18B9">
    <w:pPr>
      <w:jc w:val="right"/>
    </w:pPr>
    <w:r w:rsidRPr="009873BA">
      <w:rPr>
        <w:b/>
        <w:i/>
        <w:noProof/>
        <w:sz w:val="16"/>
      </w:rPr>
      <w:t xml:space="preserve">Приложение № </w:t>
    </w:r>
    <w:r>
      <w:rPr>
        <w:b/>
        <w:i/>
        <w:noProof/>
        <w:sz w:val="16"/>
      </w:rPr>
      <w:t>2</w:t>
    </w:r>
    <w:r w:rsidR="00CF2FD7">
      <w:rPr>
        <w:b/>
        <w:i/>
        <w:noProof/>
        <w:sz w:val="16"/>
      </w:rPr>
      <w:t>5</w:t>
    </w:r>
    <w:r>
      <w:rPr>
        <w:noProof/>
        <w:sz w:val="16"/>
      </w:rPr>
      <w:t xml:space="preserve"> </w:t>
    </w:r>
    <w:r w:rsidRPr="00B4715B">
      <w:rPr>
        <w:b/>
        <w:i/>
        <w:sz w:val="16"/>
        <w:szCs w:val="16"/>
      </w:rPr>
      <w:t xml:space="preserve">к «Регламенту предоставления </w:t>
    </w:r>
    <w:r>
      <w:rPr>
        <w:b/>
        <w:i/>
        <w:sz w:val="16"/>
        <w:szCs w:val="16"/>
      </w:rPr>
      <w:t xml:space="preserve">                                                                                                                                                     </w:t>
    </w:r>
    <w:r w:rsidR="001B4BDA">
      <w:rPr>
        <w:b/>
        <w:i/>
        <w:sz w:val="16"/>
        <w:szCs w:val="16"/>
      </w:rPr>
      <w:t xml:space="preserve">   </w:t>
    </w:r>
    <w:r w:rsidR="009E14EF" w:rsidRPr="009E14EF">
      <w:rPr>
        <w:rFonts w:cstheme="minorHAnsi"/>
        <w:b/>
        <w:i/>
        <w:sz w:val="16"/>
        <w:szCs w:val="16"/>
      </w:rPr>
      <w:t>ООО «АРС Инвест»</w:t>
    </w:r>
    <w:r w:rsidR="009E14EF">
      <w:rPr>
        <w:b/>
        <w:i/>
        <w:sz w:val="16"/>
        <w:szCs w:val="16"/>
      </w:rPr>
      <w:t xml:space="preserve"> </w:t>
    </w:r>
    <w:r w:rsidRPr="00B4715B">
      <w:rPr>
        <w:b/>
        <w:i/>
        <w:sz w:val="16"/>
        <w:szCs w:val="16"/>
      </w:rPr>
      <w:t xml:space="preserve"> брокерских услуг на рынке ценных </w:t>
    </w:r>
    <w:r>
      <w:rPr>
        <w:b/>
        <w:i/>
        <w:sz w:val="16"/>
        <w:szCs w:val="16"/>
      </w:rPr>
      <w:t>бумаг,  срочном  и валютном рынке»</w:t>
    </w:r>
  </w:p>
  <w:p w:rsidR="00CF18B9" w:rsidRDefault="00CF18B9">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A5E5956"/>
    <w:lvl w:ilvl="0">
      <w:start w:val="1"/>
      <w:numFmt w:val="bullet"/>
      <w:pStyle w:val="a"/>
      <w:lvlText w:val=""/>
      <w:lvlJc w:val="left"/>
      <w:pPr>
        <w:tabs>
          <w:tab w:val="num" w:pos="360"/>
        </w:tabs>
        <w:ind w:left="360" w:hanging="360"/>
      </w:pPr>
      <w:rPr>
        <w:rFonts w:ascii="Symbol" w:hAnsi="Symbol" w:hint="default"/>
      </w:rPr>
    </w:lvl>
  </w:abstractNum>
  <w:abstractNum w:abstractNumId="1">
    <w:nsid w:val="009A4DC9"/>
    <w:multiLevelType w:val="hybridMultilevel"/>
    <w:tmpl w:val="129E8336"/>
    <w:lvl w:ilvl="0" w:tplc="7EE0BFEE">
      <w:start w:val="1"/>
      <w:numFmt w:val="decimal"/>
      <w:lvlText w:val="%1."/>
      <w:lvlJc w:val="left"/>
      <w:pPr>
        <w:ind w:left="720" w:hanging="360"/>
      </w:pPr>
      <w:rPr>
        <w:rFonts w:ascii="Times New Roman" w:eastAsiaTheme="minorHAnsi" w:hAnsi="Times New Roman" w:cs="Times New Roman"/>
      </w:rPr>
    </w:lvl>
    <w:lvl w:ilvl="1" w:tplc="51C66B4E">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78E54F0"/>
    <w:multiLevelType w:val="hybridMultilevel"/>
    <w:tmpl w:val="2CAACE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896344E"/>
    <w:multiLevelType w:val="hybridMultilevel"/>
    <w:tmpl w:val="B548FE0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317344A2"/>
    <w:multiLevelType w:val="multilevel"/>
    <w:tmpl w:val="5B6A51EA"/>
    <w:lvl w:ilvl="0">
      <w:start w:val="1"/>
      <w:numFmt w:val="decimal"/>
      <w:lvlText w:val="%1."/>
      <w:lvlJc w:val="left"/>
      <w:pPr>
        <w:tabs>
          <w:tab w:val="num" w:pos="425"/>
        </w:tabs>
        <w:ind w:left="786" w:hanging="360"/>
      </w:pPr>
      <w:rPr>
        <w:rFonts w:hint="default"/>
      </w:rPr>
    </w:lvl>
    <w:lvl w:ilvl="1">
      <w:start w:val="1"/>
      <w:numFmt w:val="decimal"/>
      <w:isLgl/>
      <w:lvlText w:val="%1.%2."/>
      <w:lvlJc w:val="left"/>
      <w:pPr>
        <w:tabs>
          <w:tab w:val="num" w:pos="801"/>
        </w:tabs>
        <w:ind w:left="801" w:hanging="375"/>
      </w:pPr>
      <w:rPr>
        <w:rFonts w:hint="default"/>
        <w:b/>
        <w:i w:val="0"/>
      </w:rPr>
    </w:lvl>
    <w:lvl w:ilvl="2">
      <w:start w:val="1"/>
      <w:numFmt w:val="decimal"/>
      <w:isLgl/>
      <w:lvlText w:val="%1.%2.%3."/>
      <w:lvlJc w:val="left"/>
      <w:pPr>
        <w:tabs>
          <w:tab w:val="num" w:pos="1146"/>
        </w:tabs>
        <w:ind w:left="1146" w:hanging="720"/>
      </w:pPr>
      <w:rPr>
        <w:rFonts w:hint="default"/>
        <w:b/>
      </w:rPr>
    </w:lvl>
    <w:lvl w:ilvl="3">
      <w:start w:val="1"/>
      <w:numFmt w:val="decimal"/>
      <w:isLgl/>
      <w:lvlText w:val="%1.%2.%3.%4."/>
      <w:lvlJc w:val="left"/>
      <w:pPr>
        <w:tabs>
          <w:tab w:val="num" w:pos="1146"/>
        </w:tabs>
        <w:ind w:left="1146" w:hanging="720"/>
      </w:pPr>
      <w:rPr>
        <w:rFonts w:hint="default"/>
        <w:b/>
      </w:rPr>
    </w:lvl>
    <w:lvl w:ilvl="4">
      <w:start w:val="1"/>
      <w:numFmt w:val="decimal"/>
      <w:isLgl/>
      <w:lvlText w:val="%1.%2.%3.%4.%5."/>
      <w:lvlJc w:val="left"/>
      <w:pPr>
        <w:tabs>
          <w:tab w:val="num" w:pos="1506"/>
        </w:tabs>
        <w:ind w:left="1506" w:hanging="1080"/>
      </w:pPr>
      <w:rPr>
        <w:rFonts w:hint="default"/>
        <w:b/>
      </w:rPr>
    </w:lvl>
    <w:lvl w:ilvl="5">
      <w:start w:val="1"/>
      <w:numFmt w:val="decimal"/>
      <w:isLgl/>
      <w:lvlText w:val="%1.%2.%3.%4.%5.%6."/>
      <w:lvlJc w:val="left"/>
      <w:pPr>
        <w:tabs>
          <w:tab w:val="num" w:pos="1506"/>
        </w:tabs>
        <w:ind w:left="1506" w:hanging="1080"/>
      </w:pPr>
      <w:rPr>
        <w:rFonts w:hint="default"/>
        <w:b/>
      </w:rPr>
    </w:lvl>
    <w:lvl w:ilvl="6">
      <w:start w:val="1"/>
      <w:numFmt w:val="decimal"/>
      <w:isLgl/>
      <w:lvlText w:val="%1.%2.%3.%4.%5.%6.%7."/>
      <w:lvlJc w:val="left"/>
      <w:pPr>
        <w:tabs>
          <w:tab w:val="num" w:pos="1506"/>
        </w:tabs>
        <w:ind w:left="1506" w:hanging="1080"/>
      </w:pPr>
      <w:rPr>
        <w:rFonts w:hint="default"/>
        <w:b/>
      </w:rPr>
    </w:lvl>
    <w:lvl w:ilvl="7">
      <w:start w:val="1"/>
      <w:numFmt w:val="decimal"/>
      <w:isLgl/>
      <w:lvlText w:val="%1.%2.%3.%4.%5.%6.%7.%8."/>
      <w:lvlJc w:val="left"/>
      <w:pPr>
        <w:tabs>
          <w:tab w:val="num" w:pos="1866"/>
        </w:tabs>
        <w:ind w:left="1866" w:hanging="1440"/>
      </w:pPr>
      <w:rPr>
        <w:rFonts w:hint="default"/>
        <w:b/>
      </w:rPr>
    </w:lvl>
    <w:lvl w:ilvl="8">
      <w:start w:val="1"/>
      <w:numFmt w:val="decimal"/>
      <w:isLgl/>
      <w:lvlText w:val="%1.%2.%3.%4.%5.%6.%7.%8.%9."/>
      <w:lvlJc w:val="left"/>
      <w:pPr>
        <w:tabs>
          <w:tab w:val="num" w:pos="1866"/>
        </w:tabs>
        <w:ind w:left="1866" w:hanging="1440"/>
      </w:pPr>
      <w:rPr>
        <w:rFonts w:hint="default"/>
        <w:b/>
      </w:rPr>
    </w:lvl>
  </w:abstractNum>
  <w:abstractNum w:abstractNumId="5">
    <w:nsid w:val="32B800CC"/>
    <w:multiLevelType w:val="multilevel"/>
    <w:tmpl w:val="429838D4"/>
    <w:lvl w:ilvl="0">
      <w:start w:val="1"/>
      <w:numFmt w:val="decimal"/>
      <w:lvlText w:val="%1."/>
      <w:lvlJc w:val="left"/>
      <w:pPr>
        <w:ind w:left="720" w:hanging="360"/>
      </w:pPr>
      <w:rPr>
        <w:rFonts w:ascii="Times New Roman" w:eastAsiaTheme="minorHAnsi"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595F507F"/>
    <w:multiLevelType w:val="singleLevel"/>
    <w:tmpl w:val="04190001"/>
    <w:lvl w:ilvl="0">
      <w:start w:val="1"/>
      <w:numFmt w:val="bullet"/>
      <w:lvlText w:val=""/>
      <w:lvlJc w:val="left"/>
      <w:pPr>
        <w:tabs>
          <w:tab w:val="num" w:pos="360"/>
        </w:tabs>
        <w:ind w:left="360" w:hanging="360"/>
      </w:pPr>
      <w:rPr>
        <w:rFonts w:ascii="Symbol" w:hAnsi="Symbol" w:cs="Times New Roman" w:hint="default"/>
      </w:rPr>
    </w:lvl>
  </w:abstractNum>
  <w:abstractNum w:abstractNumId="7">
    <w:nsid w:val="65FD6DE6"/>
    <w:multiLevelType w:val="multilevel"/>
    <w:tmpl w:val="B3A8D89E"/>
    <w:lvl w:ilvl="0">
      <w:start w:val="3"/>
      <w:numFmt w:val="decimal"/>
      <w:lvlText w:val="%1."/>
      <w:lvlJc w:val="left"/>
      <w:pPr>
        <w:ind w:left="360" w:hanging="360"/>
      </w:pPr>
      <w:rPr>
        <w:rFonts w:hint="default"/>
      </w:rPr>
    </w:lvl>
    <w:lvl w:ilvl="1">
      <w:start w:val="1"/>
      <w:numFmt w:val="decimal"/>
      <w:lvlText w:val="%1.%2."/>
      <w:lvlJc w:val="left"/>
      <w:pPr>
        <w:ind w:left="466"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38" w:hanging="720"/>
      </w:pPr>
      <w:rPr>
        <w:rFonts w:hint="default"/>
      </w:rPr>
    </w:lvl>
    <w:lvl w:ilvl="4">
      <w:start w:val="1"/>
      <w:numFmt w:val="decimal"/>
      <w:lvlText w:val="%1.%2.%3.%4.%5."/>
      <w:lvlJc w:val="left"/>
      <w:pPr>
        <w:ind w:left="1504" w:hanging="1080"/>
      </w:pPr>
      <w:rPr>
        <w:rFonts w:hint="default"/>
      </w:rPr>
    </w:lvl>
    <w:lvl w:ilvl="5">
      <w:start w:val="1"/>
      <w:numFmt w:val="decimal"/>
      <w:lvlText w:val="%1.%2.%3.%4.%5.%6."/>
      <w:lvlJc w:val="left"/>
      <w:pPr>
        <w:ind w:left="1610" w:hanging="1080"/>
      </w:pPr>
      <w:rPr>
        <w:rFonts w:hint="default"/>
      </w:rPr>
    </w:lvl>
    <w:lvl w:ilvl="6">
      <w:start w:val="1"/>
      <w:numFmt w:val="decimal"/>
      <w:lvlText w:val="%1.%2.%3.%4.%5.%6.%7."/>
      <w:lvlJc w:val="left"/>
      <w:pPr>
        <w:ind w:left="1716" w:hanging="1080"/>
      </w:pPr>
      <w:rPr>
        <w:rFonts w:hint="default"/>
      </w:rPr>
    </w:lvl>
    <w:lvl w:ilvl="7">
      <w:start w:val="1"/>
      <w:numFmt w:val="decimal"/>
      <w:lvlText w:val="%1.%2.%3.%4.%5.%6.%7.%8."/>
      <w:lvlJc w:val="left"/>
      <w:pPr>
        <w:ind w:left="2182" w:hanging="1440"/>
      </w:pPr>
      <w:rPr>
        <w:rFonts w:hint="default"/>
      </w:rPr>
    </w:lvl>
    <w:lvl w:ilvl="8">
      <w:start w:val="1"/>
      <w:numFmt w:val="decimal"/>
      <w:lvlText w:val="%1.%2.%3.%4.%5.%6.%7.%8.%9."/>
      <w:lvlJc w:val="left"/>
      <w:pPr>
        <w:ind w:left="2288" w:hanging="1440"/>
      </w:pPr>
      <w:rPr>
        <w:rFonts w:hint="default"/>
      </w:rPr>
    </w:lvl>
  </w:abstractNum>
  <w:abstractNum w:abstractNumId="8">
    <w:nsid w:val="71A34C6A"/>
    <w:multiLevelType w:val="multilevel"/>
    <w:tmpl w:val="6456A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4983A3A"/>
    <w:multiLevelType w:val="multilevel"/>
    <w:tmpl w:val="23B05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5AD31C9"/>
    <w:multiLevelType w:val="hybridMultilevel"/>
    <w:tmpl w:val="A79C7578"/>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78CE5827"/>
    <w:multiLevelType w:val="hybridMultilevel"/>
    <w:tmpl w:val="40EAC1B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7"/>
  </w:num>
  <w:num w:numId="4">
    <w:abstractNumId w:val="4"/>
  </w:num>
  <w:num w:numId="5">
    <w:abstractNumId w:val="6"/>
  </w:num>
  <w:num w:numId="6">
    <w:abstractNumId w:val="1"/>
  </w:num>
  <w:num w:numId="7">
    <w:abstractNumId w:val="2"/>
  </w:num>
  <w:num w:numId="8">
    <w:abstractNumId w:val="0"/>
  </w:num>
  <w:num w:numId="9">
    <w:abstractNumId w:val="3"/>
  </w:num>
  <w:num w:numId="10">
    <w:abstractNumId w:val="5"/>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4B26"/>
    <w:rsid w:val="000B0FEB"/>
    <w:rsid w:val="000D642F"/>
    <w:rsid w:val="000D683D"/>
    <w:rsid w:val="001B4BDA"/>
    <w:rsid w:val="00212DBD"/>
    <w:rsid w:val="00253F54"/>
    <w:rsid w:val="00256231"/>
    <w:rsid w:val="00266B54"/>
    <w:rsid w:val="002A5907"/>
    <w:rsid w:val="002E77AE"/>
    <w:rsid w:val="003621E0"/>
    <w:rsid w:val="004867EB"/>
    <w:rsid w:val="005E1831"/>
    <w:rsid w:val="00604B26"/>
    <w:rsid w:val="007D3E59"/>
    <w:rsid w:val="00826DE6"/>
    <w:rsid w:val="009E14EF"/>
    <w:rsid w:val="00B86C02"/>
    <w:rsid w:val="00CF18B9"/>
    <w:rsid w:val="00CF2FD7"/>
    <w:rsid w:val="00D61007"/>
    <w:rsid w:val="00E02042"/>
    <w:rsid w:val="00F32BE6"/>
    <w:rsid w:val="00F44D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nhideWhenUsed/>
    <w:rsid w:val="00CF18B9"/>
    <w:pPr>
      <w:tabs>
        <w:tab w:val="center" w:pos="4677"/>
        <w:tab w:val="right" w:pos="9355"/>
      </w:tabs>
      <w:spacing w:after="0" w:line="240" w:lineRule="auto"/>
    </w:pPr>
  </w:style>
  <w:style w:type="character" w:customStyle="1" w:styleId="a5">
    <w:name w:val="Верхний колонтитул Знак"/>
    <w:basedOn w:val="a1"/>
    <w:link w:val="a4"/>
    <w:uiPriority w:val="99"/>
    <w:rsid w:val="00CF18B9"/>
  </w:style>
  <w:style w:type="paragraph" w:styleId="a6">
    <w:name w:val="footer"/>
    <w:basedOn w:val="a0"/>
    <w:link w:val="a7"/>
    <w:uiPriority w:val="99"/>
    <w:unhideWhenUsed/>
    <w:rsid w:val="00CF18B9"/>
    <w:pPr>
      <w:tabs>
        <w:tab w:val="center" w:pos="4677"/>
        <w:tab w:val="right" w:pos="9355"/>
      </w:tabs>
      <w:spacing w:after="0" w:line="240" w:lineRule="auto"/>
    </w:pPr>
  </w:style>
  <w:style w:type="character" w:customStyle="1" w:styleId="a7">
    <w:name w:val="Нижний колонтитул Знак"/>
    <w:basedOn w:val="a1"/>
    <w:link w:val="a6"/>
    <w:uiPriority w:val="99"/>
    <w:rsid w:val="00CF18B9"/>
  </w:style>
  <w:style w:type="paragraph" w:styleId="a8">
    <w:name w:val="Normal (Web)"/>
    <w:basedOn w:val="a0"/>
    <w:uiPriority w:val="99"/>
    <w:semiHidden/>
    <w:unhideWhenUsed/>
    <w:rsid w:val="00486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vtor11">
    <w:name w:val="Avtor 1.1."/>
    <w:basedOn w:val="a9"/>
    <w:rsid w:val="003621E0"/>
    <w:pPr>
      <w:spacing w:after="0" w:line="240" w:lineRule="auto"/>
      <w:ind w:left="0" w:firstLine="0"/>
      <w:contextualSpacing w:val="0"/>
      <w:jc w:val="both"/>
    </w:pPr>
    <w:rPr>
      <w:rFonts w:ascii="Times New Roman" w:eastAsia="Times New Roman" w:hAnsi="Times New Roman" w:cs="Times New Roman"/>
      <w:color w:val="000000"/>
      <w:sz w:val="20"/>
      <w:szCs w:val="20"/>
    </w:rPr>
  </w:style>
  <w:style w:type="paragraph" w:styleId="a9">
    <w:name w:val="List"/>
    <w:basedOn w:val="a0"/>
    <w:uiPriority w:val="99"/>
    <w:semiHidden/>
    <w:unhideWhenUsed/>
    <w:rsid w:val="003621E0"/>
    <w:pPr>
      <w:ind w:left="283" w:hanging="283"/>
      <w:contextualSpacing/>
    </w:pPr>
  </w:style>
  <w:style w:type="paragraph" w:styleId="aa">
    <w:name w:val="List Paragraph"/>
    <w:basedOn w:val="a0"/>
    <w:uiPriority w:val="34"/>
    <w:qFormat/>
    <w:rsid w:val="00CF2FD7"/>
    <w:pPr>
      <w:ind w:left="720"/>
      <w:contextualSpacing/>
    </w:pPr>
  </w:style>
  <w:style w:type="character" w:styleId="ab">
    <w:name w:val="Hyperlink"/>
    <w:basedOn w:val="a1"/>
    <w:uiPriority w:val="99"/>
    <w:unhideWhenUsed/>
    <w:rsid w:val="00CF2FD7"/>
    <w:rPr>
      <w:color w:val="0000FF"/>
      <w:u w:val="single"/>
    </w:rPr>
  </w:style>
  <w:style w:type="paragraph" w:styleId="a">
    <w:name w:val="List Bullet"/>
    <w:basedOn w:val="a0"/>
    <w:autoRedefine/>
    <w:rsid w:val="002E77AE"/>
    <w:pPr>
      <w:numPr>
        <w:numId w:val="8"/>
      </w:numPr>
      <w:spacing w:after="0" w:line="240" w:lineRule="auto"/>
    </w:pPr>
    <w:rPr>
      <w:rFonts w:ascii="Times New Roman" w:eastAsia="Times New Roman" w:hAnsi="Times New Roman" w:cs="Times New Roman"/>
      <w:color w:val="000000"/>
      <w:sz w:val="20"/>
      <w:szCs w:val="20"/>
      <w:lang w:eastAsia="ru-RU"/>
    </w:rPr>
  </w:style>
  <w:style w:type="paragraph" w:styleId="ac">
    <w:name w:val="Body Text Indent"/>
    <w:basedOn w:val="a0"/>
    <w:link w:val="ad"/>
    <w:rsid w:val="000D683D"/>
    <w:pPr>
      <w:tabs>
        <w:tab w:val="left" w:pos="644"/>
      </w:tabs>
      <w:spacing w:after="0" w:line="240" w:lineRule="auto"/>
      <w:ind w:left="284"/>
      <w:jc w:val="both"/>
    </w:pPr>
    <w:rPr>
      <w:rFonts w:ascii="Times New Roman" w:eastAsia="Times New Roman" w:hAnsi="Times New Roman" w:cs="Times New Roman"/>
      <w:b/>
      <w:sz w:val="28"/>
      <w:szCs w:val="20"/>
    </w:rPr>
  </w:style>
  <w:style w:type="character" w:customStyle="1" w:styleId="ad">
    <w:name w:val="Основной текст с отступом Знак"/>
    <w:basedOn w:val="a1"/>
    <w:link w:val="ac"/>
    <w:rsid w:val="000D683D"/>
    <w:rPr>
      <w:rFonts w:ascii="Times New Roman" w:eastAsia="Times New Roman" w:hAnsi="Times New Roman" w:cs="Times New Roman"/>
      <w:b/>
      <w:sz w:val="28"/>
      <w:szCs w:val="20"/>
    </w:rPr>
  </w:style>
  <w:style w:type="paragraph" w:customStyle="1" w:styleId="ae">
    <w:name w:val="Îáû÷íûé"/>
    <w:rsid w:val="000D683D"/>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nhideWhenUsed/>
    <w:rsid w:val="00CF18B9"/>
    <w:pPr>
      <w:tabs>
        <w:tab w:val="center" w:pos="4677"/>
        <w:tab w:val="right" w:pos="9355"/>
      </w:tabs>
      <w:spacing w:after="0" w:line="240" w:lineRule="auto"/>
    </w:pPr>
  </w:style>
  <w:style w:type="character" w:customStyle="1" w:styleId="a5">
    <w:name w:val="Верхний колонтитул Знак"/>
    <w:basedOn w:val="a1"/>
    <w:link w:val="a4"/>
    <w:uiPriority w:val="99"/>
    <w:rsid w:val="00CF18B9"/>
  </w:style>
  <w:style w:type="paragraph" w:styleId="a6">
    <w:name w:val="footer"/>
    <w:basedOn w:val="a0"/>
    <w:link w:val="a7"/>
    <w:uiPriority w:val="99"/>
    <w:unhideWhenUsed/>
    <w:rsid w:val="00CF18B9"/>
    <w:pPr>
      <w:tabs>
        <w:tab w:val="center" w:pos="4677"/>
        <w:tab w:val="right" w:pos="9355"/>
      </w:tabs>
      <w:spacing w:after="0" w:line="240" w:lineRule="auto"/>
    </w:pPr>
  </w:style>
  <w:style w:type="character" w:customStyle="1" w:styleId="a7">
    <w:name w:val="Нижний колонтитул Знак"/>
    <w:basedOn w:val="a1"/>
    <w:link w:val="a6"/>
    <w:uiPriority w:val="99"/>
    <w:rsid w:val="00CF18B9"/>
  </w:style>
  <w:style w:type="paragraph" w:styleId="a8">
    <w:name w:val="Normal (Web)"/>
    <w:basedOn w:val="a0"/>
    <w:uiPriority w:val="99"/>
    <w:semiHidden/>
    <w:unhideWhenUsed/>
    <w:rsid w:val="00486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vtor11">
    <w:name w:val="Avtor 1.1."/>
    <w:basedOn w:val="a9"/>
    <w:rsid w:val="003621E0"/>
    <w:pPr>
      <w:spacing w:after="0" w:line="240" w:lineRule="auto"/>
      <w:ind w:left="0" w:firstLine="0"/>
      <w:contextualSpacing w:val="0"/>
      <w:jc w:val="both"/>
    </w:pPr>
    <w:rPr>
      <w:rFonts w:ascii="Times New Roman" w:eastAsia="Times New Roman" w:hAnsi="Times New Roman" w:cs="Times New Roman"/>
      <w:color w:val="000000"/>
      <w:sz w:val="20"/>
      <w:szCs w:val="20"/>
    </w:rPr>
  </w:style>
  <w:style w:type="paragraph" w:styleId="a9">
    <w:name w:val="List"/>
    <w:basedOn w:val="a0"/>
    <w:uiPriority w:val="99"/>
    <w:semiHidden/>
    <w:unhideWhenUsed/>
    <w:rsid w:val="003621E0"/>
    <w:pPr>
      <w:ind w:left="283" w:hanging="283"/>
      <w:contextualSpacing/>
    </w:pPr>
  </w:style>
  <w:style w:type="paragraph" w:styleId="aa">
    <w:name w:val="List Paragraph"/>
    <w:basedOn w:val="a0"/>
    <w:uiPriority w:val="34"/>
    <w:qFormat/>
    <w:rsid w:val="00CF2FD7"/>
    <w:pPr>
      <w:ind w:left="720"/>
      <w:contextualSpacing/>
    </w:pPr>
  </w:style>
  <w:style w:type="character" w:styleId="ab">
    <w:name w:val="Hyperlink"/>
    <w:basedOn w:val="a1"/>
    <w:uiPriority w:val="99"/>
    <w:unhideWhenUsed/>
    <w:rsid w:val="00CF2FD7"/>
    <w:rPr>
      <w:color w:val="0000FF"/>
      <w:u w:val="single"/>
    </w:rPr>
  </w:style>
  <w:style w:type="paragraph" w:styleId="a">
    <w:name w:val="List Bullet"/>
    <w:basedOn w:val="a0"/>
    <w:autoRedefine/>
    <w:rsid w:val="002E77AE"/>
    <w:pPr>
      <w:numPr>
        <w:numId w:val="8"/>
      </w:numPr>
      <w:spacing w:after="0" w:line="240" w:lineRule="auto"/>
    </w:pPr>
    <w:rPr>
      <w:rFonts w:ascii="Times New Roman" w:eastAsia="Times New Roman" w:hAnsi="Times New Roman" w:cs="Times New Roman"/>
      <w:color w:val="000000"/>
      <w:sz w:val="20"/>
      <w:szCs w:val="20"/>
      <w:lang w:eastAsia="ru-RU"/>
    </w:rPr>
  </w:style>
  <w:style w:type="paragraph" w:styleId="ac">
    <w:name w:val="Body Text Indent"/>
    <w:basedOn w:val="a0"/>
    <w:link w:val="ad"/>
    <w:rsid w:val="000D683D"/>
    <w:pPr>
      <w:tabs>
        <w:tab w:val="left" w:pos="644"/>
      </w:tabs>
      <w:spacing w:after="0" w:line="240" w:lineRule="auto"/>
      <w:ind w:left="284"/>
      <w:jc w:val="both"/>
    </w:pPr>
    <w:rPr>
      <w:rFonts w:ascii="Times New Roman" w:eastAsia="Times New Roman" w:hAnsi="Times New Roman" w:cs="Times New Roman"/>
      <w:b/>
      <w:sz w:val="28"/>
      <w:szCs w:val="20"/>
    </w:rPr>
  </w:style>
  <w:style w:type="character" w:customStyle="1" w:styleId="ad">
    <w:name w:val="Основной текст с отступом Знак"/>
    <w:basedOn w:val="a1"/>
    <w:link w:val="ac"/>
    <w:rsid w:val="000D683D"/>
    <w:rPr>
      <w:rFonts w:ascii="Times New Roman" w:eastAsia="Times New Roman" w:hAnsi="Times New Roman" w:cs="Times New Roman"/>
      <w:b/>
      <w:sz w:val="28"/>
      <w:szCs w:val="20"/>
    </w:rPr>
  </w:style>
  <w:style w:type="paragraph" w:customStyle="1" w:styleId="ae">
    <w:name w:val="Îáû÷íûé"/>
    <w:rsid w:val="000D683D"/>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828310">
      <w:bodyDiv w:val="1"/>
      <w:marLeft w:val="0"/>
      <w:marRight w:val="0"/>
      <w:marTop w:val="0"/>
      <w:marBottom w:val="0"/>
      <w:divBdr>
        <w:top w:val="none" w:sz="0" w:space="0" w:color="auto"/>
        <w:left w:val="none" w:sz="0" w:space="0" w:color="auto"/>
        <w:bottom w:val="none" w:sz="0" w:space="0" w:color="auto"/>
        <w:right w:val="none" w:sz="0" w:space="0" w:color="auto"/>
      </w:divBdr>
    </w:div>
    <w:div w:id="474685430">
      <w:bodyDiv w:val="1"/>
      <w:marLeft w:val="0"/>
      <w:marRight w:val="0"/>
      <w:marTop w:val="0"/>
      <w:marBottom w:val="0"/>
      <w:divBdr>
        <w:top w:val="none" w:sz="0" w:space="0" w:color="auto"/>
        <w:left w:val="none" w:sz="0" w:space="0" w:color="auto"/>
        <w:bottom w:val="none" w:sz="0" w:space="0" w:color="auto"/>
        <w:right w:val="none" w:sz="0" w:space="0" w:color="auto"/>
      </w:divBdr>
    </w:div>
    <w:div w:id="1846700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rp@arsinvest.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arsinvest.ru" TargetMode="External"/><Relationship Id="rId5" Type="http://schemas.openxmlformats.org/officeDocument/2006/relationships/webSettings" Target="webSettings.xml"/><Relationship Id="rId10" Type="http://schemas.openxmlformats.org/officeDocument/2006/relationships/hyperlink" Target="http://www.arsinvest.ru" TargetMode="External"/><Relationship Id="rId4" Type="http://schemas.openxmlformats.org/officeDocument/2006/relationships/settings" Target="settings.xml"/><Relationship Id="rId9" Type="http://schemas.openxmlformats.org/officeDocument/2006/relationships/hyperlink" Target="http://www.arsinves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1575</Words>
  <Characters>8982</Characters>
  <Application>Microsoft Office Word</Application>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Вера Гамаюнова</dc:creator>
  <cp:lastModifiedBy>Вера Гамаюнова</cp:lastModifiedBy>
  <cp:revision>3</cp:revision>
  <dcterms:created xsi:type="dcterms:W3CDTF">2024-08-29T14:56:00Z</dcterms:created>
  <dcterms:modified xsi:type="dcterms:W3CDTF">2024-08-29T15:33:00Z</dcterms:modified>
</cp:coreProperties>
</file>